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6A" w:rsidRPr="0067136A" w:rsidRDefault="0067136A" w:rsidP="0067136A">
      <w:pPr>
        <w:outlineLvl w:val="0"/>
        <w:rPr>
          <w:rFonts w:eastAsia="Times New Roman" w:cs="Times New Roman"/>
          <w:b/>
          <w:bCs/>
          <w:kern w:val="36"/>
          <w:sz w:val="24"/>
          <w:szCs w:val="24"/>
        </w:rPr>
      </w:pPr>
      <w:r>
        <w:rPr>
          <w:rFonts w:eastAsia="Times New Roman" w:cs="Times New Roman"/>
          <w:b/>
          <w:bCs/>
          <w:kern w:val="36"/>
          <w:sz w:val="24"/>
          <w:szCs w:val="24"/>
        </w:rPr>
        <w:t>8</w:t>
      </w:r>
      <w:bookmarkStart w:id="0" w:name="_GoBack"/>
      <w:bookmarkEnd w:id="0"/>
      <w:r w:rsidRPr="0067136A">
        <w:rPr>
          <w:rFonts w:eastAsia="Times New Roman" w:cs="Times New Roman"/>
          <w:b/>
          <w:bCs/>
          <w:kern w:val="36"/>
          <w:sz w:val="24"/>
          <w:szCs w:val="24"/>
        </w:rPr>
        <w:t xml:space="preserve"> Surprising Places Educators Can Reach Students</w:t>
      </w:r>
    </w:p>
    <w:p w:rsidR="0067136A" w:rsidRPr="0067136A" w:rsidRDefault="0067136A" w:rsidP="0067136A">
      <w:pPr>
        <w:outlineLvl w:val="0"/>
        <w:rPr>
          <w:rFonts w:eastAsia="Times New Roman" w:cs="Times New Roman"/>
          <w:b/>
          <w:bCs/>
          <w:kern w:val="36"/>
          <w:sz w:val="24"/>
          <w:szCs w:val="24"/>
        </w:rPr>
      </w:pPr>
      <w:r w:rsidRPr="0067136A">
        <w:rPr>
          <w:rFonts w:eastAsia="Times New Roman" w:cs="Times New Roman"/>
          <w:b/>
          <w:bCs/>
          <w:kern w:val="36"/>
          <w:sz w:val="24"/>
          <w:szCs w:val="24"/>
        </w:rPr>
        <w:t>January 28, 2013</w:t>
      </w:r>
    </w:p>
    <w:p w:rsidR="0067136A" w:rsidRPr="0067136A" w:rsidRDefault="0067136A" w:rsidP="0067136A">
      <w:pPr>
        <w:outlineLvl w:val="0"/>
        <w:rPr>
          <w:rFonts w:eastAsia="Times New Roman" w:cs="Times New Roman"/>
          <w:b/>
          <w:bCs/>
          <w:kern w:val="36"/>
          <w:sz w:val="24"/>
          <w:szCs w:val="24"/>
        </w:rPr>
      </w:pPr>
      <w:r w:rsidRPr="0067136A">
        <w:rPr>
          <w:rFonts w:eastAsia="Times New Roman" w:cs="Times New Roman"/>
          <w:b/>
          <w:bCs/>
          <w:kern w:val="36"/>
          <w:sz w:val="24"/>
          <w:szCs w:val="24"/>
        </w:rPr>
        <w:t>By Staff Writers</w:t>
      </w:r>
    </w:p>
    <w:p w:rsidR="0067136A" w:rsidRPr="0067136A" w:rsidRDefault="0067136A" w:rsidP="0067136A">
      <w:pPr>
        <w:outlineLvl w:val="0"/>
        <w:rPr>
          <w:rFonts w:eastAsia="Times New Roman" w:cs="Times New Roman"/>
          <w:bCs/>
          <w:kern w:val="36"/>
          <w:sz w:val="20"/>
          <w:szCs w:val="20"/>
        </w:rPr>
      </w:pPr>
      <w:r w:rsidRPr="0067136A">
        <w:rPr>
          <w:rFonts w:eastAsia="Times New Roman" w:cs="Times New Roman"/>
          <w:bCs/>
          <w:kern w:val="36"/>
          <w:sz w:val="20"/>
          <w:szCs w:val="20"/>
        </w:rPr>
        <w:t>http://www.onlineuniversities.com/blog/2013/01/the-new-learning-lab-8-surprising-places-educators-can-reach-students/</w:t>
      </w:r>
    </w:p>
    <w:p w:rsidR="0067136A" w:rsidRDefault="0067136A" w:rsidP="0067136A">
      <w:pPr>
        <w:rPr>
          <w:rFonts w:cs="Times New Roman"/>
          <w:sz w:val="20"/>
          <w:szCs w:val="20"/>
        </w:rPr>
      </w:pPr>
    </w:p>
    <w:p w:rsidR="0067136A" w:rsidRDefault="0067136A" w:rsidP="0067136A">
      <w:pPr>
        <w:rPr>
          <w:rFonts w:cs="Times New Roman"/>
          <w:sz w:val="20"/>
          <w:szCs w:val="20"/>
        </w:rPr>
      </w:pPr>
      <w:r w:rsidRPr="0067136A">
        <w:rPr>
          <w:rFonts w:cs="Times New Roman"/>
          <w:sz w:val="20"/>
          <w:szCs w:val="20"/>
        </w:rPr>
        <w:t>Thanks to developments in online and mobile learning, today’s classroom can be anywhere students are anytime they need it. That means school buses, libraries, community centers, churches, and anywhere else students visit are all fair game for learning. And even without the help of online or mobile learning, there’s an increased demand for educational experiences in creative settings that offer students unique opportunities for learning. We’ve discovered several interesting, and even surprising, places that educators are working to reach students, from shopping malls to museums.</w:t>
      </w:r>
    </w:p>
    <w:p w:rsidR="0067136A" w:rsidRPr="0067136A" w:rsidRDefault="0067136A" w:rsidP="0067136A">
      <w:pPr>
        <w:rPr>
          <w:rFonts w:cs="Times New Roman"/>
          <w:sz w:val="20"/>
          <w:szCs w:val="20"/>
        </w:rPr>
      </w:pPr>
    </w:p>
    <w:p w:rsidR="0067136A" w:rsidRPr="0067136A" w:rsidRDefault="0067136A" w:rsidP="0067136A">
      <w:pPr>
        <w:numPr>
          <w:ilvl w:val="0"/>
          <w:numId w:val="2"/>
        </w:numPr>
        <w:outlineLvl w:val="2"/>
        <w:rPr>
          <w:rFonts w:eastAsia="Times New Roman" w:cs="Times New Roman"/>
          <w:b/>
          <w:bCs/>
          <w:sz w:val="22"/>
          <w:szCs w:val="22"/>
        </w:rPr>
      </w:pPr>
      <w:hyperlink r:id="rId6" w:history="1">
        <w:r w:rsidRPr="0067136A">
          <w:rPr>
            <w:rFonts w:eastAsia="Times New Roman" w:cs="Times New Roman"/>
            <w:b/>
            <w:bCs/>
            <w:color w:val="0000FF"/>
            <w:sz w:val="22"/>
            <w:szCs w:val="22"/>
            <w:u w:val="single"/>
          </w:rPr>
          <w:t>Buses and automobiles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For some students, the ride to school can be 30 minutes or longer. And in one </w:t>
      </w:r>
      <w:hyperlink r:id="rId7" w:history="1">
        <w:r w:rsidRPr="0067136A">
          <w:rPr>
            <w:rFonts w:cs="Times New Roman"/>
            <w:color w:val="0000FF"/>
            <w:sz w:val="20"/>
            <w:szCs w:val="20"/>
            <w:u w:val="single"/>
          </w:rPr>
          <w:t xml:space="preserve">Arizona </w:t>
        </w:r>
      </w:hyperlink>
      <w:r w:rsidRPr="0067136A">
        <w:rPr>
          <w:rFonts w:cs="Times New Roman"/>
          <w:sz w:val="20"/>
          <w:szCs w:val="20"/>
        </w:rPr>
        <w:t xml:space="preserve">district, kids ride the bus for an hour and a half each way. The administrator for that school district has put Wi-Fi on buses so that students are able to learn using mobile devices during these three hours of potential learning time. And, thanks to mobile developments like </w:t>
      </w:r>
      <w:hyperlink r:id="rId8" w:history="1">
        <w:r w:rsidRPr="0067136A">
          <w:rPr>
            <w:rFonts w:cs="Times New Roman"/>
            <w:color w:val="0000FF"/>
            <w:sz w:val="20"/>
            <w:szCs w:val="20"/>
            <w:u w:val="single"/>
          </w:rPr>
          <w:t>location-based learning</w:t>
        </w:r>
      </w:hyperlink>
      <w:r w:rsidRPr="0067136A">
        <w:rPr>
          <w:rFonts w:cs="Times New Roman"/>
          <w:sz w:val="20"/>
          <w:szCs w:val="20"/>
        </w:rPr>
        <w:t>, students on the go can be introduced to content that is linked to their physical location, whether they’re on a commute home or a field trip across town.</w:t>
      </w:r>
    </w:p>
    <w:p w:rsidR="0067136A" w:rsidRPr="0067136A" w:rsidRDefault="0067136A" w:rsidP="0067136A">
      <w:pPr>
        <w:numPr>
          <w:ilvl w:val="0"/>
          <w:numId w:val="2"/>
        </w:numPr>
        <w:outlineLvl w:val="2"/>
        <w:rPr>
          <w:rFonts w:eastAsia="Times New Roman" w:cs="Times New Roman"/>
          <w:b/>
          <w:bCs/>
          <w:sz w:val="22"/>
          <w:szCs w:val="22"/>
        </w:rPr>
      </w:pPr>
      <w:hyperlink r:id="rId9" w:anchor="more-25674" w:history="1">
        <w:r w:rsidRPr="0067136A">
          <w:rPr>
            <w:rFonts w:eastAsia="Times New Roman" w:cs="Times New Roman"/>
            <w:b/>
            <w:bCs/>
            <w:color w:val="0000FF"/>
            <w:sz w:val="22"/>
            <w:szCs w:val="22"/>
            <w:u w:val="single"/>
          </w:rPr>
          <w:t>Malls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It’s a fact: kids still love to go to the mall. Malls are a fun place to get together with friends, and now, they’re also a place for learning. At the </w:t>
      </w:r>
      <w:proofErr w:type="spellStart"/>
      <w:r w:rsidRPr="0067136A">
        <w:rPr>
          <w:rFonts w:cs="Times New Roman"/>
          <w:sz w:val="20"/>
          <w:szCs w:val="20"/>
        </w:rPr>
        <w:t>EdNET</w:t>
      </w:r>
      <w:proofErr w:type="spellEnd"/>
      <w:r w:rsidRPr="0067136A">
        <w:rPr>
          <w:rFonts w:cs="Times New Roman"/>
          <w:sz w:val="20"/>
          <w:szCs w:val="20"/>
        </w:rPr>
        <w:t xml:space="preserve"> conference last year, </w:t>
      </w:r>
      <w:hyperlink r:id="rId10" w:history="1">
        <w:r w:rsidRPr="0067136A">
          <w:rPr>
            <w:rFonts w:cs="Times New Roman"/>
            <w:color w:val="0000FF"/>
            <w:sz w:val="20"/>
            <w:szCs w:val="20"/>
            <w:u w:val="single"/>
          </w:rPr>
          <w:t xml:space="preserve">Maryland </w:t>
        </w:r>
      </w:hyperlink>
      <w:r w:rsidRPr="0067136A">
        <w:rPr>
          <w:rFonts w:cs="Times New Roman"/>
          <w:sz w:val="20"/>
          <w:szCs w:val="20"/>
        </w:rPr>
        <w:t>educator Georgia L. Keaton proposed that there be online learning labs in malls. After all, that’s where kids and teachers like to go anyway. Just imagine: stopping in for a bit of learning while you’re picking up a new pair of jeans.</w:t>
      </w:r>
    </w:p>
    <w:p w:rsidR="0067136A" w:rsidRPr="0067136A" w:rsidRDefault="0067136A" w:rsidP="0067136A">
      <w:pPr>
        <w:numPr>
          <w:ilvl w:val="0"/>
          <w:numId w:val="2"/>
        </w:numPr>
        <w:outlineLvl w:val="2"/>
        <w:rPr>
          <w:rFonts w:eastAsia="Times New Roman" w:cs="Times New Roman"/>
          <w:b/>
          <w:bCs/>
          <w:sz w:val="22"/>
          <w:szCs w:val="22"/>
        </w:rPr>
      </w:pPr>
      <w:hyperlink r:id="rId11" w:history="1">
        <w:r w:rsidRPr="0067136A">
          <w:rPr>
            <w:rFonts w:eastAsia="Times New Roman" w:cs="Times New Roman"/>
            <w:b/>
            <w:bCs/>
            <w:color w:val="0000FF"/>
            <w:sz w:val="22"/>
            <w:szCs w:val="22"/>
            <w:u w:val="single"/>
          </w:rPr>
          <w:t>Churches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For many communities, churches aren’t simply a place of </w:t>
      </w:r>
      <w:proofErr w:type="gramStart"/>
      <w:r w:rsidRPr="0067136A">
        <w:rPr>
          <w:rFonts w:cs="Times New Roman"/>
          <w:sz w:val="20"/>
          <w:szCs w:val="20"/>
        </w:rPr>
        <w:t>worship,</w:t>
      </w:r>
      <w:proofErr w:type="gramEnd"/>
      <w:r w:rsidRPr="0067136A">
        <w:rPr>
          <w:rFonts w:cs="Times New Roman"/>
          <w:sz w:val="20"/>
          <w:szCs w:val="20"/>
        </w:rPr>
        <w:t xml:space="preserve"> they’re a place to gather in the community and a home base for outreach. That’s why in recent years many churches have opened up their Wi-</w:t>
      </w:r>
      <w:proofErr w:type="spellStart"/>
      <w:r w:rsidRPr="0067136A">
        <w:rPr>
          <w:rFonts w:cs="Times New Roman"/>
          <w:sz w:val="20"/>
          <w:szCs w:val="20"/>
        </w:rPr>
        <w:t>Fiand</w:t>
      </w:r>
      <w:proofErr w:type="spellEnd"/>
      <w:r w:rsidRPr="0067136A">
        <w:rPr>
          <w:rFonts w:cs="Times New Roman"/>
          <w:sz w:val="20"/>
          <w:szCs w:val="20"/>
        </w:rPr>
        <w:t xml:space="preserve"> put in coffee bars and comfortable seating, inviting the community in. </w:t>
      </w:r>
      <w:hyperlink r:id="rId12" w:anchor="more-25674" w:history="1">
        <w:r w:rsidRPr="0067136A">
          <w:rPr>
            <w:rFonts w:cs="Times New Roman"/>
            <w:color w:val="0000FF"/>
            <w:sz w:val="20"/>
            <w:szCs w:val="20"/>
            <w:u w:val="single"/>
          </w:rPr>
          <w:t>School tech experts</w:t>
        </w:r>
      </w:hyperlink>
      <w:r w:rsidRPr="0067136A">
        <w:rPr>
          <w:rFonts w:cs="Times New Roman"/>
          <w:sz w:val="20"/>
          <w:szCs w:val="20"/>
        </w:rPr>
        <w:t xml:space="preserve"> have pointed out that this offers a great opportunity for learning. Students and educators can use churches as gathering places to become community centers for studying and learning.</w:t>
      </w:r>
    </w:p>
    <w:p w:rsidR="0067136A" w:rsidRPr="0067136A" w:rsidRDefault="0067136A" w:rsidP="0067136A">
      <w:pPr>
        <w:numPr>
          <w:ilvl w:val="0"/>
          <w:numId w:val="2"/>
        </w:numPr>
        <w:outlineLvl w:val="2"/>
        <w:rPr>
          <w:rFonts w:eastAsia="Times New Roman" w:cs="Times New Roman"/>
          <w:b/>
          <w:bCs/>
          <w:sz w:val="22"/>
          <w:szCs w:val="22"/>
        </w:rPr>
      </w:pPr>
      <w:hyperlink r:id="rId13" w:history="1">
        <w:r w:rsidRPr="0067136A">
          <w:rPr>
            <w:rFonts w:eastAsia="Times New Roman" w:cs="Times New Roman"/>
            <w:b/>
            <w:bCs/>
            <w:color w:val="0000FF"/>
            <w:sz w:val="22"/>
            <w:szCs w:val="22"/>
            <w:u w:val="single"/>
          </w:rPr>
          <w:t>Museums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It’s not at all difficult to imagine museums as learning labs. Students often visit them for field trips, and they typically have extensive learning resources for </w:t>
      </w:r>
      <w:proofErr w:type="spellStart"/>
      <w:r w:rsidRPr="0067136A">
        <w:rPr>
          <w:rFonts w:cs="Times New Roman"/>
          <w:sz w:val="20"/>
          <w:szCs w:val="20"/>
        </w:rPr>
        <w:t>schoolkids</w:t>
      </w:r>
      <w:proofErr w:type="spellEnd"/>
      <w:r w:rsidRPr="0067136A">
        <w:rPr>
          <w:rFonts w:cs="Times New Roman"/>
          <w:sz w:val="20"/>
          <w:szCs w:val="20"/>
        </w:rPr>
        <w:t xml:space="preserve">. That’s why it’s ingenious to use them as learning labs as well, and in fact, there’s already a program to put learning labs in museums and libraries throughout the US. The Institute of Museum and Library Services has plans to create up to 30 different learning labs designed to offer collaborative learning with traditional and digital media. These </w:t>
      </w:r>
      <w:hyperlink r:id="rId14" w:history="1">
        <w:r w:rsidRPr="0067136A">
          <w:rPr>
            <w:rFonts w:cs="Times New Roman"/>
            <w:color w:val="0000FF"/>
            <w:sz w:val="20"/>
            <w:szCs w:val="20"/>
            <w:u w:val="single"/>
          </w:rPr>
          <w:t>spaces</w:t>
        </w:r>
      </w:hyperlink>
      <w:r w:rsidRPr="0067136A">
        <w:rPr>
          <w:rFonts w:cs="Times New Roman"/>
          <w:sz w:val="20"/>
          <w:szCs w:val="20"/>
        </w:rPr>
        <w:t xml:space="preserve">, like the </w:t>
      </w:r>
      <w:hyperlink r:id="rId15" w:history="1">
        <w:r w:rsidRPr="0067136A">
          <w:rPr>
            <w:rFonts w:cs="Times New Roman"/>
            <w:color w:val="0000FF"/>
            <w:sz w:val="20"/>
            <w:szCs w:val="20"/>
            <w:u w:val="single"/>
          </w:rPr>
          <w:t xml:space="preserve">Oregon </w:t>
        </w:r>
      </w:hyperlink>
      <w:r w:rsidRPr="0067136A">
        <w:rPr>
          <w:rFonts w:cs="Times New Roman"/>
          <w:sz w:val="20"/>
          <w:szCs w:val="20"/>
        </w:rPr>
        <w:t>Museum of Science and Industry and the New York Hall of Science, will feature creative learning resources, offering workshops, technology, and learning resources students may not otherwise have access to.</w:t>
      </w:r>
    </w:p>
    <w:p w:rsidR="0067136A" w:rsidRPr="0067136A" w:rsidRDefault="0067136A" w:rsidP="0067136A">
      <w:pPr>
        <w:numPr>
          <w:ilvl w:val="0"/>
          <w:numId w:val="2"/>
        </w:numPr>
        <w:outlineLvl w:val="2"/>
        <w:rPr>
          <w:rFonts w:eastAsia="Times New Roman" w:cs="Times New Roman"/>
          <w:b/>
          <w:bCs/>
          <w:sz w:val="22"/>
          <w:szCs w:val="22"/>
        </w:rPr>
      </w:pPr>
      <w:hyperlink r:id="rId16" w:history="1">
        <w:r w:rsidRPr="0067136A">
          <w:rPr>
            <w:rFonts w:eastAsia="Times New Roman" w:cs="Times New Roman"/>
            <w:b/>
            <w:bCs/>
            <w:color w:val="0000FF"/>
            <w:sz w:val="22"/>
            <w:szCs w:val="22"/>
            <w:u w:val="single"/>
          </w:rPr>
          <w:t>Libraries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Through the same program that’s creating learning labs in museums, we’ll also see extensive learning labs in libraries. Again, learning labs in libraries are certainly not a stretch of the imagination. After all, most students are already familiar with using libraries for research and studying. But these learning labs take things to the next level, like the Fayetteville Free Library’s Fab Lab </w:t>
      </w:r>
      <w:proofErr w:type="spellStart"/>
      <w:r w:rsidRPr="0067136A">
        <w:rPr>
          <w:rFonts w:cs="Times New Roman"/>
          <w:sz w:val="20"/>
          <w:szCs w:val="20"/>
        </w:rPr>
        <w:t>makerspace</w:t>
      </w:r>
      <w:proofErr w:type="spellEnd"/>
      <w:r w:rsidRPr="0067136A">
        <w:rPr>
          <w:rFonts w:cs="Times New Roman"/>
          <w:sz w:val="20"/>
          <w:szCs w:val="20"/>
        </w:rPr>
        <w:t xml:space="preserve"> that features resources for programming and creating with 3D printers.</w:t>
      </w:r>
    </w:p>
    <w:p w:rsidR="0067136A" w:rsidRPr="0067136A" w:rsidRDefault="0067136A" w:rsidP="0067136A">
      <w:pPr>
        <w:numPr>
          <w:ilvl w:val="0"/>
          <w:numId w:val="2"/>
        </w:numPr>
        <w:outlineLvl w:val="2"/>
        <w:rPr>
          <w:rFonts w:eastAsia="Times New Roman" w:cs="Times New Roman"/>
          <w:b/>
          <w:bCs/>
          <w:sz w:val="22"/>
          <w:szCs w:val="22"/>
        </w:rPr>
      </w:pPr>
      <w:hyperlink r:id="rId17" w:history="1">
        <w:r w:rsidRPr="0067136A">
          <w:rPr>
            <w:rFonts w:eastAsia="Times New Roman" w:cs="Times New Roman"/>
            <w:b/>
            <w:bCs/>
            <w:color w:val="0000FF"/>
            <w:sz w:val="22"/>
            <w:szCs w:val="22"/>
            <w:u w:val="single"/>
          </w:rPr>
          <w:t>Outdoor research sites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 xml:space="preserve">Learning doesn’t have to happen exclusively indoors. Projects like the </w:t>
      </w:r>
      <w:hyperlink r:id="rId18" w:history="1">
        <w:r w:rsidRPr="0067136A">
          <w:rPr>
            <w:rFonts w:cs="Times New Roman"/>
            <w:color w:val="0000FF"/>
            <w:sz w:val="20"/>
            <w:szCs w:val="20"/>
            <w:u w:val="single"/>
          </w:rPr>
          <w:t>Lord &amp; Burnham Greenhouse</w:t>
        </w:r>
      </w:hyperlink>
      <w:r w:rsidRPr="0067136A">
        <w:rPr>
          <w:rFonts w:cs="Times New Roman"/>
          <w:sz w:val="20"/>
          <w:szCs w:val="20"/>
        </w:rPr>
        <w:t xml:space="preserve"> learning lab and the </w:t>
      </w:r>
      <w:hyperlink r:id="rId19" w:history="1">
        <w:r w:rsidRPr="0067136A">
          <w:rPr>
            <w:rFonts w:cs="Times New Roman"/>
            <w:color w:val="0000FF"/>
            <w:sz w:val="20"/>
            <w:szCs w:val="20"/>
            <w:u w:val="single"/>
          </w:rPr>
          <w:t>Rachel Marshall Outdoor Learning Lab</w:t>
        </w:r>
      </w:hyperlink>
      <w:r w:rsidRPr="0067136A">
        <w:rPr>
          <w:rFonts w:cs="Times New Roman"/>
          <w:sz w:val="20"/>
          <w:szCs w:val="20"/>
        </w:rPr>
        <w:t xml:space="preserve"> take learning outside, allowing students to learn about nature and the outdoors while they’re actually in nature and the outdoors. Projects include tagging trees for preservation, studying erosion, and collaborating on bird banding research.</w:t>
      </w:r>
    </w:p>
    <w:p w:rsidR="0067136A" w:rsidRPr="0067136A" w:rsidRDefault="0067136A" w:rsidP="0067136A">
      <w:pPr>
        <w:numPr>
          <w:ilvl w:val="0"/>
          <w:numId w:val="2"/>
        </w:numPr>
        <w:outlineLvl w:val="2"/>
        <w:rPr>
          <w:rFonts w:eastAsia="Times New Roman" w:cs="Times New Roman"/>
          <w:b/>
          <w:bCs/>
          <w:sz w:val="22"/>
          <w:szCs w:val="22"/>
        </w:rPr>
      </w:pPr>
      <w:hyperlink r:id="rId20" w:history="1">
        <w:r w:rsidRPr="0067136A">
          <w:rPr>
            <w:rFonts w:eastAsia="Times New Roman" w:cs="Times New Roman"/>
            <w:b/>
            <w:bCs/>
            <w:color w:val="0000FF"/>
            <w:sz w:val="22"/>
            <w:szCs w:val="22"/>
            <w:u w:val="single"/>
          </w:rPr>
          <w:t>Local government centers</w:t>
        </w:r>
      </w:hyperlink>
      <w:r w:rsidRPr="0067136A">
        <w:rPr>
          <w:rFonts w:eastAsia="Times New Roman" w:cs="Times New Roman"/>
          <w:b/>
          <w:bCs/>
          <w:sz w:val="22"/>
          <w:szCs w:val="22"/>
        </w:rPr>
        <w:t>:</w:t>
      </w:r>
    </w:p>
    <w:p w:rsidR="0067136A" w:rsidRPr="0067136A" w:rsidRDefault="0067136A" w:rsidP="0067136A">
      <w:pPr>
        <w:ind w:left="720"/>
        <w:rPr>
          <w:rFonts w:cs="Times New Roman"/>
          <w:sz w:val="20"/>
          <w:szCs w:val="20"/>
        </w:rPr>
      </w:pPr>
      <w:r w:rsidRPr="0067136A">
        <w:rPr>
          <w:rFonts w:cs="Times New Roman"/>
          <w:sz w:val="20"/>
          <w:szCs w:val="20"/>
        </w:rPr>
        <w:t>Pay your taxes, get married, or get a ticket dismissed; that’s what you’d expect to do at a local government center. But with some distance learning programs, you can study at a government center, too. In addition to schools, libraries, museums, and other more traditional sites, some programs have designated local government centers as a location for learning as well, making them a community resource for education.</w:t>
      </w:r>
    </w:p>
    <w:p w:rsidR="0067136A" w:rsidRPr="0067136A" w:rsidRDefault="0067136A" w:rsidP="0067136A">
      <w:pPr>
        <w:numPr>
          <w:ilvl w:val="0"/>
          <w:numId w:val="2"/>
        </w:numPr>
        <w:outlineLvl w:val="2"/>
        <w:rPr>
          <w:rFonts w:eastAsia="Times New Roman" w:cs="Times New Roman"/>
          <w:b/>
          <w:bCs/>
          <w:sz w:val="22"/>
          <w:szCs w:val="22"/>
        </w:rPr>
      </w:pPr>
      <w:hyperlink r:id="rId21" w:history="1">
        <w:r w:rsidRPr="0067136A">
          <w:rPr>
            <w:rFonts w:eastAsia="Times New Roman" w:cs="Times New Roman"/>
            <w:b/>
            <w:bCs/>
            <w:color w:val="0000FF"/>
            <w:sz w:val="22"/>
            <w:szCs w:val="22"/>
            <w:u w:val="single"/>
          </w:rPr>
          <w:t>Colleges and universities</w:t>
        </w:r>
      </w:hyperlink>
      <w:r w:rsidRPr="0067136A">
        <w:rPr>
          <w:rFonts w:eastAsia="Times New Roman" w:cs="Times New Roman"/>
          <w:b/>
          <w:bCs/>
          <w:sz w:val="22"/>
          <w:szCs w:val="22"/>
        </w:rPr>
        <w:t>:</w:t>
      </w:r>
    </w:p>
    <w:p w:rsidR="003A7CED" w:rsidRPr="0067136A" w:rsidRDefault="0067136A" w:rsidP="0067136A">
      <w:pPr>
        <w:ind w:left="720"/>
        <w:rPr>
          <w:rFonts w:cs="Times New Roman"/>
        </w:rPr>
      </w:pPr>
      <w:r w:rsidRPr="0067136A">
        <w:rPr>
          <w:rFonts w:cs="Times New Roman"/>
          <w:sz w:val="20"/>
          <w:szCs w:val="20"/>
        </w:rPr>
        <w:t>It’s not groundbreaking news for colleges to offer learning labs for their own students, but many have begun to open their doors to K-12 students as well. The schools allow students to come in and use the vast university resources, and often, participate in special projects and research. These collaborations are great not just for the young K-12 students, but college-level education as well.</w:t>
      </w:r>
    </w:p>
    <w:sectPr w:rsidR="003A7CED" w:rsidRPr="0067136A" w:rsidSect="0067136A">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46B"/>
    <w:multiLevelType w:val="multilevel"/>
    <w:tmpl w:val="8A52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10055"/>
    <w:multiLevelType w:val="multilevel"/>
    <w:tmpl w:val="CCC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6A"/>
    <w:rsid w:val="003A7CED"/>
    <w:rsid w:val="0067136A"/>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36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713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6A"/>
    <w:rPr>
      <w:rFonts w:ascii="Times" w:hAnsi="Times"/>
      <w:b/>
      <w:bCs/>
      <w:kern w:val="36"/>
      <w:sz w:val="48"/>
      <w:szCs w:val="48"/>
    </w:rPr>
  </w:style>
  <w:style w:type="character" w:customStyle="1" w:styleId="Heading3Char">
    <w:name w:val="Heading 3 Char"/>
    <w:basedOn w:val="DefaultParagraphFont"/>
    <w:link w:val="Heading3"/>
    <w:uiPriority w:val="9"/>
    <w:rsid w:val="0067136A"/>
    <w:rPr>
      <w:rFonts w:ascii="Times" w:hAnsi="Times"/>
      <w:b/>
      <w:bCs/>
      <w:sz w:val="27"/>
      <w:szCs w:val="27"/>
    </w:rPr>
  </w:style>
  <w:style w:type="character" w:styleId="Hyperlink">
    <w:name w:val="Hyperlink"/>
    <w:basedOn w:val="DefaultParagraphFont"/>
    <w:uiPriority w:val="99"/>
    <w:semiHidden/>
    <w:unhideWhenUsed/>
    <w:rsid w:val="0067136A"/>
    <w:rPr>
      <w:color w:val="0000FF"/>
      <w:u w:val="single"/>
    </w:rPr>
  </w:style>
  <w:style w:type="paragraph" w:styleId="NormalWeb">
    <w:name w:val="Normal (Web)"/>
    <w:basedOn w:val="Normal"/>
    <w:uiPriority w:val="99"/>
    <w:semiHidden/>
    <w:unhideWhenUsed/>
    <w:rsid w:val="006713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7136A"/>
    <w:rPr>
      <w:b/>
      <w:bCs/>
    </w:rPr>
  </w:style>
  <w:style w:type="paragraph" w:styleId="BalloonText">
    <w:name w:val="Balloon Text"/>
    <w:basedOn w:val="Normal"/>
    <w:link w:val="BalloonTextChar"/>
    <w:uiPriority w:val="99"/>
    <w:semiHidden/>
    <w:unhideWhenUsed/>
    <w:rsid w:val="00671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3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36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713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6A"/>
    <w:rPr>
      <w:rFonts w:ascii="Times" w:hAnsi="Times"/>
      <w:b/>
      <w:bCs/>
      <w:kern w:val="36"/>
      <w:sz w:val="48"/>
      <w:szCs w:val="48"/>
    </w:rPr>
  </w:style>
  <w:style w:type="character" w:customStyle="1" w:styleId="Heading3Char">
    <w:name w:val="Heading 3 Char"/>
    <w:basedOn w:val="DefaultParagraphFont"/>
    <w:link w:val="Heading3"/>
    <w:uiPriority w:val="9"/>
    <w:rsid w:val="0067136A"/>
    <w:rPr>
      <w:rFonts w:ascii="Times" w:hAnsi="Times"/>
      <w:b/>
      <w:bCs/>
      <w:sz w:val="27"/>
      <w:szCs w:val="27"/>
    </w:rPr>
  </w:style>
  <w:style w:type="character" w:styleId="Hyperlink">
    <w:name w:val="Hyperlink"/>
    <w:basedOn w:val="DefaultParagraphFont"/>
    <w:uiPriority w:val="99"/>
    <w:semiHidden/>
    <w:unhideWhenUsed/>
    <w:rsid w:val="0067136A"/>
    <w:rPr>
      <w:color w:val="0000FF"/>
      <w:u w:val="single"/>
    </w:rPr>
  </w:style>
  <w:style w:type="paragraph" w:styleId="NormalWeb">
    <w:name w:val="Normal (Web)"/>
    <w:basedOn w:val="Normal"/>
    <w:uiPriority w:val="99"/>
    <w:semiHidden/>
    <w:unhideWhenUsed/>
    <w:rsid w:val="006713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7136A"/>
    <w:rPr>
      <w:b/>
      <w:bCs/>
    </w:rPr>
  </w:style>
  <w:style w:type="paragraph" w:styleId="BalloonText">
    <w:name w:val="Balloon Text"/>
    <w:basedOn w:val="Normal"/>
    <w:link w:val="BalloonTextChar"/>
    <w:uiPriority w:val="99"/>
    <w:semiHidden/>
    <w:unhideWhenUsed/>
    <w:rsid w:val="00671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3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40629">
      <w:bodyDiv w:val="1"/>
      <w:marLeft w:val="0"/>
      <w:marRight w:val="0"/>
      <w:marTop w:val="0"/>
      <w:marBottom w:val="0"/>
      <w:divBdr>
        <w:top w:val="none" w:sz="0" w:space="0" w:color="auto"/>
        <w:left w:val="none" w:sz="0" w:space="0" w:color="auto"/>
        <w:bottom w:val="none" w:sz="0" w:space="0" w:color="auto"/>
        <w:right w:val="none" w:sz="0" w:space="0" w:color="auto"/>
      </w:divBdr>
      <w:divsChild>
        <w:div w:id="70260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kqed.org/mindshift/2012/12/2012-ed-tech-trends-insights-from-insiders/" TargetMode="External"/><Relationship Id="rId20" Type="http://schemas.openxmlformats.org/officeDocument/2006/relationships/hyperlink" Target="http://www.gsdln.org/locations/distance-learning" TargetMode="External"/><Relationship Id="rId21" Type="http://schemas.openxmlformats.org/officeDocument/2006/relationships/hyperlink" Target="http://www.edutopia.org/design-challeng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nlineuniversities.com/maryland/" TargetMode="External"/><Relationship Id="rId11" Type="http://schemas.openxmlformats.org/officeDocument/2006/relationships/hyperlink" Target="http://www.churchmarketingsucks.com/2008/01/your-church-the-wifi-sharer/" TargetMode="External"/><Relationship Id="rId12" Type="http://schemas.openxmlformats.org/officeDocument/2006/relationships/hyperlink" Target="http://blogs.kqed.org/mindshift/2012/12/2012-ed-tech-trends-insights-from-insiders/" TargetMode="External"/><Relationship Id="rId13" Type="http://schemas.openxmlformats.org/officeDocument/2006/relationships/hyperlink" Target="http://www.imls.gov/about/learning_labs.aspx" TargetMode="External"/><Relationship Id="rId14" Type="http://schemas.openxmlformats.org/officeDocument/2006/relationships/hyperlink" Target="http://blogs.kqed.org/mindshift/2011/11/libraries-and-museums-set-to-become-hands-on-learning-labs/" TargetMode="External"/><Relationship Id="rId15" Type="http://schemas.openxmlformats.org/officeDocument/2006/relationships/hyperlink" Target="http://www.onlineuniversities.com/oregon" TargetMode="External"/><Relationship Id="rId16" Type="http://schemas.openxmlformats.org/officeDocument/2006/relationships/hyperlink" Target="http://blogs.kqed.org/mindshift/2011/11/libraries-and-museums-set-to-become-hands-on-learning-labs/" TargetMode="External"/><Relationship Id="rId17" Type="http://schemas.openxmlformats.org/officeDocument/2006/relationships/hyperlink" Target="http://thegazette.com/2011/08/23/historic-greenhouse-in-cedar-rapids-to-become-new-learning-lab/" TargetMode="External"/><Relationship Id="rId18" Type="http://schemas.openxmlformats.org/officeDocument/2006/relationships/hyperlink" Target="http://thegazette.com/2011/08/23/historic-greenhouse-in-cedar-rapids-to-become-new-learning-lab/" TargetMode="External"/><Relationship Id="rId19" Type="http://schemas.openxmlformats.org/officeDocument/2006/relationships/hyperlink" Target="http://www.rachel.org/?q=en/node/1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ideshare.net/ejfitzgerald/newcastle-talk-may11alt" TargetMode="External"/><Relationship Id="rId7" Type="http://schemas.openxmlformats.org/officeDocument/2006/relationships/hyperlink" Target="http://www.onlineuniversities.com/arizona" TargetMode="External"/><Relationship Id="rId8" Type="http://schemas.openxmlformats.org/officeDocument/2006/relationships/hyperlink" Target="http://instructionaldesignfusions.wordpress.com/2011/07/07/location-based-learning-the-context-is-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928</Words>
  <Characters>5293</Characters>
  <Application>Microsoft Macintosh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2014-08-17T22:52:00Z</dcterms:created>
  <dcterms:modified xsi:type="dcterms:W3CDTF">2014-08-17T22:57:00Z</dcterms:modified>
</cp:coreProperties>
</file>