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990C" w14:textId="01B5F32B" w:rsidR="00E82447" w:rsidRPr="00E82447" w:rsidRDefault="00C7163A" w:rsidP="00A277DC">
      <w:pPr>
        <w:pStyle w:val="Heading1"/>
        <w:spacing w:before="0" w:beforeAutospacing="0" w:after="0" w:afterAutospacing="0"/>
        <w:jc w:val="center"/>
        <w:rPr>
          <w:rFonts w:ascii="Garamond" w:eastAsia="Times New Roman" w:hAnsi="Garamond" w:cs="Times New Roman"/>
          <w:sz w:val="28"/>
          <w:szCs w:val="28"/>
        </w:rPr>
      </w:pPr>
      <w:r>
        <w:rPr>
          <w:rFonts w:ascii="Garamond" w:eastAsia="Times New Roman" w:hAnsi="Garamond" w:cs="Times New Roman"/>
          <w:sz w:val="28"/>
          <w:szCs w:val="28"/>
        </w:rPr>
        <w:t xml:space="preserve">Learning is </w:t>
      </w:r>
      <w:r w:rsidR="00E82447" w:rsidRPr="00E82447">
        <w:rPr>
          <w:rFonts w:ascii="Garamond" w:eastAsia="Times New Roman" w:hAnsi="Garamond" w:cs="Times New Roman"/>
          <w:sz w:val="28"/>
          <w:szCs w:val="28"/>
        </w:rPr>
        <w:t>More than “Just Methods”</w:t>
      </w:r>
    </w:p>
    <w:p w14:paraId="746B0103" w14:textId="3704077B" w:rsidR="00A277DC" w:rsidRPr="00E82447" w:rsidRDefault="0037683B" w:rsidP="00E82447">
      <w:pPr>
        <w:pStyle w:val="Heading1"/>
        <w:spacing w:before="0" w:beforeAutospacing="0" w:after="0" w:afterAutospacing="0"/>
        <w:jc w:val="center"/>
        <w:rPr>
          <w:rFonts w:ascii="Garamond" w:eastAsia="Times New Roman" w:hAnsi="Garamond" w:cs="Times New Roman"/>
          <w:b w:val="0"/>
          <w:sz w:val="22"/>
          <w:szCs w:val="22"/>
        </w:rPr>
      </w:pPr>
      <w:r w:rsidRPr="00E82447">
        <w:rPr>
          <w:rFonts w:ascii="Garamond" w:eastAsia="Times New Roman" w:hAnsi="Garamond" w:cs="Times New Roman"/>
          <w:b w:val="0"/>
          <w:sz w:val="22"/>
          <w:szCs w:val="22"/>
        </w:rPr>
        <w:t>Linda Cannell</w:t>
      </w:r>
      <w:r>
        <w:rPr>
          <w:rFonts w:ascii="Garamond" w:eastAsia="Times New Roman" w:hAnsi="Garamond" w:cs="Times New Roman"/>
          <w:b w:val="0"/>
          <w:sz w:val="22"/>
          <w:szCs w:val="22"/>
        </w:rPr>
        <w:t xml:space="preserve">, </w:t>
      </w:r>
      <w:r w:rsidR="00E82447" w:rsidRPr="00E82447">
        <w:rPr>
          <w:rFonts w:ascii="Garamond" w:eastAsia="Times New Roman" w:hAnsi="Garamond" w:cs="Times New Roman"/>
          <w:b w:val="0"/>
          <w:sz w:val="22"/>
          <w:szCs w:val="22"/>
        </w:rPr>
        <w:t>BH Carroll Colloquium</w:t>
      </w:r>
      <w:r>
        <w:rPr>
          <w:rFonts w:ascii="Garamond" w:eastAsia="Times New Roman" w:hAnsi="Garamond" w:cs="Times New Roman"/>
          <w:b w:val="0"/>
          <w:sz w:val="22"/>
          <w:szCs w:val="22"/>
        </w:rPr>
        <w:t>, 2015</w:t>
      </w:r>
    </w:p>
    <w:p w14:paraId="2A9EDCAD" w14:textId="77777777" w:rsidR="0037683B" w:rsidRDefault="0037683B" w:rsidP="0037683B">
      <w:pPr>
        <w:ind w:left="144" w:right="-432"/>
        <w:rPr>
          <w:sz w:val="22"/>
          <w:szCs w:val="22"/>
        </w:rPr>
      </w:pPr>
    </w:p>
    <w:p w14:paraId="734046F0" w14:textId="642CED77" w:rsidR="0037683B" w:rsidRPr="001251B5" w:rsidRDefault="0037683B" w:rsidP="0037683B">
      <w:pPr>
        <w:ind w:left="144" w:right="-432"/>
        <w:jc w:val="center"/>
        <w:rPr>
          <w:rFonts w:ascii="Garamond" w:hAnsi="Garamond"/>
          <w:sz w:val="20"/>
          <w:szCs w:val="20"/>
        </w:rPr>
      </w:pPr>
      <w:r w:rsidRPr="001251B5">
        <w:rPr>
          <w:rFonts w:ascii="Garamond" w:hAnsi="Garamond"/>
          <w:sz w:val="20"/>
          <w:szCs w:val="20"/>
        </w:rPr>
        <w:t>“What we learn is in large part a function of how we learn it”.</w:t>
      </w:r>
      <w:r w:rsidRPr="001251B5">
        <w:rPr>
          <w:rStyle w:val="FootnoteReference"/>
          <w:rFonts w:ascii="Garamond" w:hAnsi="Garamond"/>
          <w:sz w:val="20"/>
          <w:szCs w:val="20"/>
        </w:rPr>
        <w:footnoteReference w:id="1"/>
      </w:r>
    </w:p>
    <w:p w14:paraId="1421FF4A" w14:textId="77777777" w:rsidR="00E82447" w:rsidRDefault="00E82447" w:rsidP="00593FA0">
      <w:pPr>
        <w:pStyle w:val="Heading1"/>
        <w:spacing w:before="0" w:beforeAutospacing="0" w:after="0" w:afterAutospacing="0"/>
        <w:rPr>
          <w:rFonts w:ascii="Garamond" w:eastAsia="Times New Roman" w:hAnsi="Garamond" w:cs="Times New Roman"/>
          <w:b w:val="0"/>
          <w:sz w:val="24"/>
          <w:szCs w:val="24"/>
        </w:rPr>
      </w:pPr>
    </w:p>
    <w:p w14:paraId="3033816D" w14:textId="73D52D15" w:rsidR="006F2EF4" w:rsidRPr="001251B5" w:rsidRDefault="0024489A" w:rsidP="00593FA0">
      <w:pPr>
        <w:pStyle w:val="Heading1"/>
        <w:spacing w:before="0" w:beforeAutospacing="0" w:after="0" w:afterAutospacing="0"/>
        <w:rPr>
          <w:rFonts w:ascii="Garamond" w:eastAsia="Times New Roman" w:hAnsi="Garamond" w:cs="Times New Roman"/>
          <w:b w:val="0"/>
          <w:sz w:val="22"/>
          <w:szCs w:val="22"/>
        </w:rPr>
      </w:pPr>
      <w:r w:rsidRPr="001251B5">
        <w:rPr>
          <w:rFonts w:ascii="Garamond" w:eastAsia="Times New Roman" w:hAnsi="Garamond" w:cs="Times New Roman"/>
          <w:b w:val="0"/>
          <w:sz w:val="22"/>
          <w:szCs w:val="22"/>
        </w:rPr>
        <w:t>One of the</w:t>
      </w:r>
      <w:r w:rsidR="0000433E" w:rsidRPr="001251B5">
        <w:rPr>
          <w:rFonts w:ascii="Garamond" w:eastAsia="Times New Roman" w:hAnsi="Garamond" w:cs="Times New Roman"/>
          <w:b w:val="0"/>
          <w:sz w:val="22"/>
          <w:szCs w:val="22"/>
        </w:rPr>
        <w:t xml:space="preserve"> </w:t>
      </w:r>
      <w:r w:rsidR="004E3DC6" w:rsidRPr="001251B5">
        <w:rPr>
          <w:rFonts w:ascii="Garamond" w:eastAsia="Times New Roman" w:hAnsi="Garamond" w:cs="Times New Roman"/>
          <w:b w:val="0"/>
          <w:sz w:val="22"/>
          <w:szCs w:val="22"/>
        </w:rPr>
        <w:t>tough part</w:t>
      </w:r>
      <w:r w:rsidRPr="001251B5">
        <w:rPr>
          <w:rFonts w:ascii="Garamond" w:eastAsia="Times New Roman" w:hAnsi="Garamond" w:cs="Times New Roman"/>
          <w:b w:val="0"/>
          <w:sz w:val="22"/>
          <w:szCs w:val="22"/>
        </w:rPr>
        <w:t>s</w:t>
      </w:r>
      <w:r w:rsidR="004E3DC6" w:rsidRPr="001251B5">
        <w:rPr>
          <w:rFonts w:ascii="Garamond" w:eastAsia="Times New Roman" w:hAnsi="Garamond" w:cs="Times New Roman"/>
          <w:b w:val="0"/>
          <w:sz w:val="22"/>
          <w:szCs w:val="22"/>
        </w:rPr>
        <w:t xml:space="preserve"> of teaching is making choices from among </w:t>
      </w:r>
      <w:r w:rsidR="0000433E" w:rsidRPr="001251B5">
        <w:rPr>
          <w:rFonts w:ascii="Garamond" w:eastAsia="Times New Roman" w:hAnsi="Garamond" w:cs="Times New Roman"/>
          <w:b w:val="0"/>
          <w:sz w:val="22"/>
          <w:szCs w:val="22"/>
        </w:rPr>
        <w:t xml:space="preserve">the hundreds of “methods” that are available. </w:t>
      </w:r>
      <w:r w:rsidR="006F2EF4" w:rsidRPr="001251B5">
        <w:rPr>
          <w:rFonts w:ascii="Garamond" w:eastAsia="Times New Roman" w:hAnsi="Garamond" w:cs="Times New Roman"/>
          <w:b w:val="0"/>
          <w:sz w:val="22"/>
          <w:szCs w:val="22"/>
        </w:rPr>
        <w:t>S</w:t>
      </w:r>
      <w:r w:rsidR="00A34773" w:rsidRPr="001251B5">
        <w:rPr>
          <w:rFonts w:ascii="Garamond" w:eastAsia="Times New Roman" w:hAnsi="Garamond" w:cs="Times New Roman"/>
          <w:b w:val="0"/>
          <w:sz w:val="22"/>
          <w:szCs w:val="22"/>
        </w:rPr>
        <w:t xml:space="preserve">ome who are new to teaching and that which influences significant </w:t>
      </w:r>
      <w:r w:rsidR="006F2EF4" w:rsidRPr="001251B5">
        <w:rPr>
          <w:rFonts w:ascii="Garamond" w:eastAsia="Times New Roman" w:hAnsi="Garamond" w:cs="Times New Roman"/>
          <w:b w:val="0"/>
          <w:sz w:val="22"/>
          <w:szCs w:val="22"/>
        </w:rPr>
        <w:t>learning</w:t>
      </w:r>
      <w:r w:rsidR="00A34773" w:rsidRPr="001251B5">
        <w:rPr>
          <w:rFonts w:ascii="Garamond" w:eastAsia="Times New Roman" w:hAnsi="Garamond" w:cs="Times New Roman"/>
          <w:b w:val="0"/>
          <w:sz w:val="22"/>
          <w:szCs w:val="22"/>
        </w:rPr>
        <w:t>,</w:t>
      </w:r>
      <w:r w:rsidR="006F2EF4" w:rsidRPr="001251B5">
        <w:rPr>
          <w:rFonts w:ascii="Garamond" w:eastAsia="Times New Roman" w:hAnsi="Garamond" w:cs="Times New Roman"/>
          <w:b w:val="0"/>
          <w:sz w:val="22"/>
          <w:szCs w:val="22"/>
        </w:rPr>
        <w:t xml:space="preserve"> may focus on a handful of </w:t>
      </w:r>
      <w:r w:rsidR="00A34773" w:rsidRPr="001251B5">
        <w:rPr>
          <w:rFonts w:ascii="Garamond" w:eastAsia="Times New Roman" w:hAnsi="Garamond" w:cs="Times New Roman"/>
          <w:b w:val="0"/>
          <w:sz w:val="22"/>
          <w:szCs w:val="22"/>
        </w:rPr>
        <w:t xml:space="preserve">comfortable </w:t>
      </w:r>
      <w:r w:rsidR="006F2EF4" w:rsidRPr="001251B5">
        <w:rPr>
          <w:rFonts w:ascii="Garamond" w:eastAsia="Times New Roman" w:hAnsi="Garamond" w:cs="Times New Roman"/>
          <w:b w:val="0"/>
          <w:sz w:val="22"/>
          <w:szCs w:val="22"/>
        </w:rPr>
        <w:t>approaches</w:t>
      </w:r>
      <w:r w:rsidR="00530755" w:rsidRPr="001251B5">
        <w:rPr>
          <w:rFonts w:ascii="Garamond" w:eastAsia="Times New Roman" w:hAnsi="Garamond" w:cs="Times New Roman"/>
          <w:b w:val="0"/>
          <w:sz w:val="22"/>
          <w:szCs w:val="22"/>
        </w:rPr>
        <w:t xml:space="preserve">—often reflective of how </w:t>
      </w:r>
      <w:r w:rsidR="00A34773" w:rsidRPr="001251B5">
        <w:rPr>
          <w:rFonts w:ascii="Garamond" w:eastAsia="Times New Roman" w:hAnsi="Garamond" w:cs="Times New Roman"/>
          <w:b w:val="0"/>
          <w:sz w:val="22"/>
          <w:szCs w:val="22"/>
        </w:rPr>
        <w:t>teacher</w:t>
      </w:r>
      <w:r w:rsidR="00530755" w:rsidRPr="001251B5">
        <w:rPr>
          <w:rFonts w:ascii="Garamond" w:eastAsia="Times New Roman" w:hAnsi="Garamond" w:cs="Times New Roman"/>
          <w:b w:val="0"/>
          <w:sz w:val="22"/>
          <w:szCs w:val="22"/>
        </w:rPr>
        <w:t>s prefer</w:t>
      </w:r>
      <w:r w:rsidR="00A34773" w:rsidRPr="001251B5">
        <w:rPr>
          <w:rFonts w:ascii="Garamond" w:eastAsia="Times New Roman" w:hAnsi="Garamond" w:cs="Times New Roman"/>
          <w:b w:val="0"/>
          <w:sz w:val="22"/>
          <w:szCs w:val="22"/>
        </w:rPr>
        <w:t xml:space="preserve"> to learn</w:t>
      </w:r>
      <w:r w:rsidR="00530755" w:rsidRPr="001251B5">
        <w:rPr>
          <w:rFonts w:ascii="Garamond" w:eastAsia="Times New Roman" w:hAnsi="Garamond" w:cs="Times New Roman"/>
          <w:b w:val="0"/>
          <w:sz w:val="22"/>
          <w:szCs w:val="22"/>
        </w:rPr>
        <w:t>, or how they were taught</w:t>
      </w:r>
      <w:r w:rsidR="00A34773" w:rsidRPr="001251B5">
        <w:rPr>
          <w:rFonts w:ascii="Garamond" w:eastAsia="Times New Roman" w:hAnsi="Garamond" w:cs="Times New Roman"/>
          <w:b w:val="0"/>
          <w:sz w:val="22"/>
          <w:szCs w:val="22"/>
        </w:rPr>
        <w:t>.</w:t>
      </w:r>
      <w:r w:rsidR="006F2EF4" w:rsidRPr="001251B5">
        <w:rPr>
          <w:rFonts w:ascii="Garamond" w:eastAsia="Times New Roman" w:hAnsi="Garamond" w:cs="Times New Roman"/>
          <w:b w:val="0"/>
          <w:sz w:val="22"/>
          <w:szCs w:val="22"/>
        </w:rPr>
        <w:t xml:space="preserve"> Clearly, for most/all of us, education is more than “just methods”. Our challenge, then, is </w:t>
      </w:r>
      <w:r w:rsidR="00D572E9" w:rsidRPr="001251B5">
        <w:rPr>
          <w:rFonts w:ascii="Garamond" w:eastAsia="Times New Roman" w:hAnsi="Garamond" w:cs="Times New Roman"/>
          <w:b w:val="0"/>
          <w:sz w:val="22"/>
          <w:szCs w:val="22"/>
        </w:rPr>
        <w:t>to understand</w:t>
      </w:r>
      <w:r w:rsidR="006F2EF4" w:rsidRPr="001251B5">
        <w:rPr>
          <w:rFonts w:ascii="Garamond" w:eastAsia="Times New Roman" w:hAnsi="Garamond" w:cs="Times New Roman"/>
          <w:b w:val="0"/>
          <w:sz w:val="22"/>
          <w:szCs w:val="22"/>
        </w:rPr>
        <w:t xml:space="preserve"> factors</w:t>
      </w:r>
      <w:r w:rsidR="00D572E9" w:rsidRPr="001251B5">
        <w:rPr>
          <w:rFonts w:ascii="Garamond" w:eastAsia="Times New Roman" w:hAnsi="Garamond" w:cs="Times New Roman"/>
          <w:b w:val="0"/>
          <w:sz w:val="22"/>
          <w:szCs w:val="22"/>
        </w:rPr>
        <w:t xml:space="preserve"> that</w:t>
      </w:r>
      <w:r w:rsidR="006F2EF4" w:rsidRPr="001251B5">
        <w:rPr>
          <w:rFonts w:ascii="Garamond" w:eastAsia="Times New Roman" w:hAnsi="Garamond" w:cs="Times New Roman"/>
          <w:b w:val="0"/>
          <w:sz w:val="22"/>
          <w:szCs w:val="22"/>
        </w:rPr>
        <w:t xml:space="preserve"> influence </w:t>
      </w:r>
      <w:r w:rsidR="006F2EF4" w:rsidRPr="001251B5">
        <w:rPr>
          <w:rFonts w:ascii="Garamond" w:eastAsia="Times New Roman" w:hAnsi="Garamond" w:cs="Times New Roman"/>
          <w:b w:val="0"/>
          <w:i/>
          <w:sz w:val="22"/>
          <w:szCs w:val="22"/>
        </w:rPr>
        <w:t>learning</w:t>
      </w:r>
      <w:r w:rsidR="00D572E9" w:rsidRPr="001251B5">
        <w:rPr>
          <w:rFonts w:ascii="Garamond" w:eastAsia="Times New Roman" w:hAnsi="Garamond" w:cs="Times New Roman"/>
          <w:b w:val="0"/>
          <w:sz w:val="22"/>
          <w:szCs w:val="22"/>
        </w:rPr>
        <w:t>—and how</w:t>
      </w:r>
      <w:proofErr w:type="gramStart"/>
      <w:r w:rsidR="006F2EF4" w:rsidRPr="001251B5">
        <w:rPr>
          <w:rFonts w:ascii="Garamond" w:eastAsia="Times New Roman" w:hAnsi="Garamond" w:cs="Times New Roman"/>
          <w:b w:val="0"/>
          <w:sz w:val="22"/>
          <w:szCs w:val="22"/>
        </w:rPr>
        <w:t>;</w:t>
      </w:r>
      <w:proofErr w:type="gramEnd"/>
      <w:r w:rsidR="006F2EF4" w:rsidRPr="001251B5">
        <w:rPr>
          <w:rFonts w:ascii="Garamond" w:eastAsia="Times New Roman" w:hAnsi="Garamond" w:cs="Times New Roman"/>
          <w:b w:val="0"/>
          <w:sz w:val="22"/>
          <w:szCs w:val="22"/>
        </w:rPr>
        <w:t xml:space="preserve"> and to </w:t>
      </w:r>
      <w:r w:rsidR="00A34773" w:rsidRPr="001251B5">
        <w:rPr>
          <w:rFonts w:ascii="Garamond" w:eastAsia="Times New Roman" w:hAnsi="Garamond" w:cs="Times New Roman"/>
          <w:b w:val="0"/>
          <w:sz w:val="22"/>
          <w:szCs w:val="22"/>
        </w:rPr>
        <w:t xml:space="preserve">make </w:t>
      </w:r>
      <w:r w:rsidR="006F2EF4" w:rsidRPr="001251B5">
        <w:rPr>
          <w:rFonts w:ascii="Garamond" w:eastAsia="Times New Roman" w:hAnsi="Garamond" w:cs="Times New Roman"/>
          <w:b w:val="0"/>
          <w:sz w:val="22"/>
          <w:szCs w:val="22"/>
        </w:rPr>
        <w:t xml:space="preserve">sensible choices about how to engage learners. </w:t>
      </w:r>
    </w:p>
    <w:p w14:paraId="666D8138" w14:textId="77777777" w:rsidR="006F2EF4" w:rsidRPr="001251B5" w:rsidRDefault="006F2EF4" w:rsidP="00593FA0">
      <w:pPr>
        <w:pStyle w:val="Heading1"/>
        <w:spacing w:before="0" w:beforeAutospacing="0" w:after="0" w:afterAutospacing="0"/>
        <w:rPr>
          <w:rFonts w:ascii="Garamond" w:eastAsia="Times New Roman" w:hAnsi="Garamond" w:cs="Times New Roman"/>
          <w:b w:val="0"/>
          <w:sz w:val="22"/>
          <w:szCs w:val="22"/>
        </w:rPr>
      </w:pPr>
    </w:p>
    <w:p w14:paraId="5451F386" w14:textId="7CA04279" w:rsidR="001237FC" w:rsidRPr="001251B5" w:rsidRDefault="004E3DC6" w:rsidP="00593FA0">
      <w:pPr>
        <w:pStyle w:val="Heading1"/>
        <w:spacing w:before="0" w:beforeAutospacing="0" w:after="0" w:afterAutospacing="0"/>
        <w:rPr>
          <w:rFonts w:ascii="Garamond" w:eastAsia="Times New Roman" w:hAnsi="Garamond" w:cs="Times New Roman"/>
          <w:b w:val="0"/>
          <w:sz w:val="22"/>
          <w:szCs w:val="22"/>
        </w:rPr>
      </w:pPr>
      <w:r w:rsidRPr="001251B5">
        <w:rPr>
          <w:rFonts w:ascii="Garamond" w:eastAsia="Times New Roman" w:hAnsi="Garamond" w:cs="Times New Roman"/>
          <w:b w:val="0"/>
          <w:sz w:val="22"/>
          <w:szCs w:val="22"/>
        </w:rPr>
        <w:t xml:space="preserve">Obviously, the longer you are a teacher the more learning approaches you </w:t>
      </w:r>
      <w:r w:rsidR="006F2EF4" w:rsidRPr="001251B5">
        <w:rPr>
          <w:rFonts w:ascii="Garamond" w:eastAsia="Times New Roman" w:hAnsi="Garamond" w:cs="Times New Roman"/>
          <w:b w:val="0"/>
          <w:sz w:val="22"/>
          <w:szCs w:val="22"/>
        </w:rPr>
        <w:t xml:space="preserve">will </w:t>
      </w:r>
      <w:r w:rsidR="000F13FB" w:rsidRPr="001251B5">
        <w:rPr>
          <w:rFonts w:ascii="Garamond" w:eastAsia="Times New Roman" w:hAnsi="Garamond" w:cs="Times New Roman"/>
          <w:b w:val="0"/>
          <w:sz w:val="22"/>
          <w:szCs w:val="22"/>
        </w:rPr>
        <w:t>have at your fingertips; and</w:t>
      </w:r>
      <w:r w:rsidR="006F2EF4" w:rsidRPr="001251B5">
        <w:rPr>
          <w:rFonts w:ascii="Garamond" w:eastAsia="Times New Roman" w:hAnsi="Garamond" w:cs="Times New Roman"/>
          <w:b w:val="0"/>
          <w:sz w:val="22"/>
          <w:szCs w:val="22"/>
        </w:rPr>
        <w:t xml:space="preserve"> there seems no end of books, articles, Internet resources</w:t>
      </w:r>
      <w:r w:rsidR="00530755" w:rsidRPr="001251B5">
        <w:rPr>
          <w:rFonts w:ascii="Garamond" w:eastAsia="Times New Roman" w:hAnsi="Garamond" w:cs="Times New Roman"/>
          <w:b w:val="0"/>
          <w:sz w:val="22"/>
          <w:szCs w:val="22"/>
        </w:rPr>
        <w:t>, and more,</w:t>
      </w:r>
      <w:r w:rsidR="0024489A" w:rsidRPr="001251B5">
        <w:rPr>
          <w:rFonts w:ascii="Garamond" w:eastAsia="Times New Roman" w:hAnsi="Garamond" w:cs="Times New Roman"/>
          <w:b w:val="0"/>
          <w:sz w:val="22"/>
          <w:szCs w:val="22"/>
        </w:rPr>
        <w:t xml:space="preserve"> that describe</w:t>
      </w:r>
      <w:r w:rsidR="006F2EF4" w:rsidRPr="001251B5">
        <w:rPr>
          <w:rFonts w:ascii="Garamond" w:eastAsia="Times New Roman" w:hAnsi="Garamond" w:cs="Times New Roman"/>
          <w:b w:val="0"/>
          <w:sz w:val="22"/>
          <w:szCs w:val="22"/>
        </w:rPr>
        <w:t xml:space="preserve"> methods. </w:t>
      </w:r>
      <w:r w:rsidR="001237FC" w:rsidRPr="001251B5">
        <w:rPr>
          <w:rFonts w:ascii="Garamond" w:eastAsia="Times New Roman" w:hAnsi="Garamond" w:cs="Times New Roman"/>
          <w:b w:val="0"/>
          <w:sz w:val="22"/>
          <w:szCs w:val="22"/>
        </w:rPr>
        <w:t xml:space="preserve">The mass of information can be counterproductive—who wants to wade through it; and faculty whose primary discipline isn’t education are </w:t>
      </w:r>
      <w:r w:rsidR="000F13FB" w:rsidRPr="001251B5">
        <w:rPr>
          <w:rFonts w:ascii="Garamond" w:eastAsia="Times New Roman" w:hAnsi="Garamond" w:cs="Times New Roman"/>
          <w:b w:val="0"/>
          <w:sz w:val="22"/>
          <w:szCs w:val="22"/>
        </w:rPr>
        <w:t>un</w:t>
      </w:r>
      <w:r w:rsidR="001237FC" w:rsidRPr="001251B5">
        <w:rPr>
          <w:rFonts w:ascii="Garamond" w:eastAsia="Times New Roman" w:hAnsi="Garamond" w:cs="Times New Roman"/>
          <w:b w:val="0"/>
          <w:sz w:val="22"/>
          <w:szCs w:val="22"/>
        </w:rPr>
        <w:t xml:space="preserve">likely to initiate a search through the mass </w:t>
      </w:r>
      <w:r w:rsidR="00A1665A" w:rsidRPr="001251B5">
        <w:rPr>
          <w:rFonts w:ascii="Garamond" w:eastAsia="Times New Roman" w:hAnsi="Garamond" w:cs="Times New Roman"/>
          <w:b w:val="0"/>
          <w:sz w:val="22"/>
          <w:szCs w:val="22"/>
        </w:rPr>
        <w:t>for something suited</w:t>
      </w:r>
      <w:r w:rsidR="001237FC" w:rsidRPr="001251B5">
        <w:rPr>
          <w:rFonts w:ascii="Garamond" w:eastAsia="Times New Roman" w:hAnsi="Garamond" w:cs="Times New Roman"/>
          <w:b w:val="0"/>
          <w:sz w:val="22"/>
          <w:szCs w:val="22"/>
        </w:rPr>
        <w:t xml:space="preserve"> to their discipline. </w:t>
      </w:r>
    </w:p>
    <w:p w14:paraId="5CED4CAF" w14:textId="77777777" w:rsidR="001237FC" w:rsidRPr="001251B5" w:rsidRDefault="001237FC" w:rsidP="00593FA0">
      <w:pPr>
        <w:pStyle w:val="Heading1"/>
        <w:spacing w:before="0" w:beforeAutospacing="0" w:after="0" w:afterAutospacing="0"/>
        <w:rPr>
          <w:rFonts w:ascii="Garamond" w:eastAsia="Times New Roman" w:hAnsi="Garamond" w:cs="Times New Roman"/>
          <w:b w:val="0"/>
          <w:sz w:val="22"/>
          <w:szCs w:val="22"/>
        </w:rPr>
      </w:pPr>
    </w:p>
    <w:p w14:paraId="7DF0146E" w14:textId="77777777" w:rsidR="00A1665A" w:rsidRPr="001251B5" w:rsidRDefault="001237FC" w:rsidP="00593FA0">
      <w:pPr>
        <w:pStyle w:val="Heading1"/>
        <w:spacing w:before="0" w:beforeAutospacing="0" w:after="0" w:afterAutospacing="0"/>
        <w:rPr>
          <w:rFonts w:ascii="Garamond" w:eastAsia="Times New Roman" w:hAnsi="Garamond" w:cs="Times New Roman"/>
          <w:b w:val="0"/>
          <w:sz w:val="22"/>
          <w:szCs w:val="22"/>
        </w:rPr>
      </w:pPr>
      <w:r w:rsidRPr="001251B5">
        <w:rPr>
          <w:rFonts w:ascii="Garamond" w:eastAsia="Times New Roman" w:hAnsi="Garamond" w:cs="Times New Roman"/>
          <w:b w:val="0"/>
          <w:sz w:val="22"/>
          <w:szCs w:val="22"/>
        </w:rPr>
        <w:t xml:space="preserve">So, </w:t>
      </w:r>
      <w:r w:rsidR="00A1665A" w:rsidRPr="001251B5">
        <w:rPr>
          <w:rFonts w:ascii="Garamond" w:eastAsia="Times New Roman" w:hAnsi="Garamond" w:cs="Times New Roman"/>
          <w:b w:val="0"/>
          <w:sz w:val="22"/>
          <w:szCs w:val="22"/>
        </w:rPr>
        <w:t>how can we deal with this problem?  Two relatively simple suggestions:</w:t>
      </w:r>
    </w:p>
    <w:p w14:paraId="1A75F962" w14:textId="1080B074" w:rsidR="004C4ACD" w:rsidRPr="001251B5" w:rsidRDefault="004C4ACD" w:rsidP="00593FA0">
      <w:pPr>
        <w:pStyle w:val="Heading1"/>
        <w:spacing w:before="0" w:beforeAutospacing="0" w:after="0" w:afterAutospacing="0"/>
        <w:rPr>
          <w:rFonts w:ascii="Garamond" w:eastAsia="Times New Roman" w:hAnsi="Garamond" w:cs="Times New Roman"/>
          <w:b w:val="0"/>
          <w:sz w:val="22"/>
          <w:szCs w:val="22"/>
        </w:rPr>
      </w:pPr>
      <w:r w:rsidRPr="001251B5">
        <w:rPr>
          <w:rFonts w:ascii="Garamond" w:eastAsia="Times New Roman" w:hAnsi="Garamond" w:cs="Times New Roman"/>
          <w:b w:val="0"/>
          <w:sz w:val="22"/>
          <w:szCs w:val="22"/>
        </w:rPr>
        <w:tab/>
        <w:t>1. One of the responsibilities of the academic dean is professional development of faculty. Since most faculty don’t have the time or inclination to s</w:t>
      </w:r>
      <w:r w:rsidR="00A277DC" w:rsidRPr="001251B5">
        <w:rPr>
          <w:rFonts w:ascii="Garamond" w:eastAsia="Times New Roman" w:hAnsi="Garamond" w:cs="Times New Roman"/>
          <w:b w:val="0"/>
          <w:sz w:val="22"/>
          <w:szCs w:val="22"/>
        </w:rPr>
        <w:t xml:space="preserve">tudy education resources, try </w:t>
      </w:r>
      <w:r w:rsidRPr="001251B5">
        <w:rPr>
          <w:rFonts w:ascii="Garamond" w:eastAsia="Times New Roman" w:hAnsi="Garamond" w:cs="Times New Roman"/>
          <w:b w:val="0"/>
          <w:sz w:val="22"/>
          <w:szCs w:val="22"/>
        </w:rPr>
        <w:t>something like the following:</w:t>
      </w:r>
    </w:p>
    <w:p w14:paraId="1AFDBC52" w14:textId="22F08F18" w:rsidR="004C4ACD" w:rsidRPr="001251B5" w:rsidRDefault="004C4ACD" w:rsidP="00A277DC">
      <w:pPr>
        <w:pStyle w:val="Heading1"/>
        <w:numPr>
          <w:ilvl w:val="0"/>
          <w:numId w:val="23"/>
        </w:numPr>
        <w:spacing w:before="0" w:beforeAutospacing="0" w:after="0" w:afterAutospacing="0"/>
        <w:ind w:left="1170"/>
        <w:rPr>
          <w:rFonts w:ascii="Garamond" w:eastAsia="Times New Roman" w:hAnsi="Garamond" w:cs="Times New Roman"/>
          <w:b w:val="0"/>
          <w:sz w:val="22"/>
          <w:szCs w:val="22"/>
        </w:rPr>
      </w:pPr>
      <w:r w:rsidRPr="001251B5">
        <w:rPr>
          <w:rFonts w:ascii="Garamond" w:eastAsia="Times New Roman" w:hAnsi="Garamond" w:cs="Times New Roman"/>
          <w:b w:val="0"/>
          <w:sz w:val="22"/>
          <w:szCs w:val="22"/>
        </w:rPr>
        <w:t xml:space="preserve">Provide opportunities for faculty to share </w:t>
      </w:r>
      <w:r w:rsidRPr="001251B5">
        <w:rPr>
          <w:rFonts w:ascii="Garamond" w:eastAsia="Times New Roman" w:hAnsi="Garamond" w:cs="Times New Roman"/>
          <w:b w:val="0"/>
          <w:i/>
          <w:sz w:val="22"/>
          <w:szCs w:val="22"/>
        </w:rPr>
        <w:t>their</w:t>
      </w:r>
      <w:r w:rsidRPr="001251B5">
        <w:rPr>
          <w:rFonts w:ascii="Garamond" w:eastAsia="Times New Roman" w:hAnsi="Garamond" w:cs="Times New Roman"/>
          <w:b w:val="0"/>
          <w:sz w:val="22"/>
          <w:szCs w:val="22"/>
        </w:rPr>
        <w:t xml:space="preserve"> teaching and learning practices and ideas: design a faculty meeting around sharing of effective practices; set aside a “slot” in the weekly schedule for faculty to voluntarily come together over refreshments</w:t>
      </w:r>
      <w:r w:rsidR="00530755" w:rsidRPr="001251B5">
        <w:rPr>
          <w:rFonts w:ascii="Garamond" w:eastAsia="Times New Roman" w:hAnsi="Garamond" w:cs="Times New Roman"/>
          <w:b w:val="0"/>
          <w:sz w:val="22"/>
          <w:szCs w:val="22"/>
        </w:rPr>
        <w:t>, of course,</w:t>
      </w:r>
      <w:r w:rsidRPr="001251B5">
        <w:rPr>
          <w:rFonts w:ascii="Garamond" w:eastAsia="Times New Roman" w:hAnsi="Garamond" w:cs="Times New Roman"/>
          <w:b w:val="0"/>
          <w:sz w:val="22"/>
          <w:szCs w:val="22"/>
        </w:rPr>
        <w:t xml:space="preserve"> to share what they have been doing.  </w:t>
      </w:r>
    </w:p>
    <w:p w14:paraId="0411D2CB" w14:textId="5BFE84AD" w:rsidR="004C4ACD" w:rsidRPr="001251B5" w:rsidRDefault="004C4ACD" w:rsidP="00A277DC">
      <w:pPr>
        <w:pStyle w:val="Heading1"/>
        <w:numPr>
          <w:ilvl w:val="0"/>
          <w:numId w:val="23"/>
        </w:numPr>
        <w:spacing w:before="0" w:beforeAutospacing="0" w:after="0" w:afterAutospacing="0"/>
        <w:ind w:left="1170"/>
        <w:rPr>
          <w:rFonts w:ascii="Garamond" w:eastAsia="Times New Roman" w:hAnsi="Garamond" w:cs="Times New Roman"/>
          <w:b w:val="0"/>
          <w:sz w:val="22"/>
          <w:szCs w:val="22"/>
        </w:rPr>
      </w:pPr>
      <w:r w:rsidRPr="001251B5">
        <w:rPr>
          <w:rFonts w:ascii="Garamond" w:eastAsia="Times New Roman" w:hAnsi="Garamond" w:cs="Times New Roman"/>
          <w:b w:val="0"/>
          <w:sz w:val="22"/>
          <w:szCs w:val="22"/>
        </w:rPr>
        <w:t>Purchase accessible books on teaching and learning and place them in the faculty lounge. Invite faculty to browse</w:t>
      </w:r>
      <w:r w:rsidR="00E21006">
        <w:rPr>
          <w:rFonts w:ascii="Garamond" w:eastAsia="Times New Roman" w:hAnsi="Garamond" w:cs="Times New Roman"/>
          <w:b w:val="0"/>
          <w:sz w:val="22"/>
          <w:szCs w:val="22"/>
        </w:rPr>
        <w:t xml:space="preserve"> the collection</w:t>
      </w:r>
      <w:bookmarkStart w:id="0" w:name="_GoBack"/>
      <w:bookmarkEnd w:id="0"/>
      <w:r w:rsidR="00530755" w:rsidRPr="001251B5">
        <w:rPr>
          <w:rFonts w:ascii="Garamond" w:eastAsia="Times New Roman" w:hAnsi="Garamond" w:cs="Times New Roman"/>
          <w:b w:val="0"/>
          <w:sz w:val="22"/>
          <w:szCs w:val="22"/>
        </w:rPr>
        <w:t>,</w:t>
      </w:r>
      <w:r w:rsidRPr="001251B5">
        <w:rPr>
          <w:rFonts w:ascii="Garamond" w:eastAsia="Times New Roman" w:hAnsi="Garamond" w:cs="Times New Roman"/>
          <w:b w:val="0"/>
          <w:sz w:val="22"/>
          <w:szCs w:val="22"/>
        </w:rPr>
        <w:t xml:space="preserve"> try a couple of ideas</w:t>
      </w:r>
      <w:r w:rsidR="00530755" w:rsidRPr="001251B5">
        <w:rPr>
          <w:rFonts w:ascii="Garamond" w:eastAsia="Times New Roman" w:hAnsi="Garamond" w:cs="Times New Roman"/>
          <w:b w:val="0"/>
          <w:sz w:val="22"/>
          <w:szCs w:val="22"/>
        </w:rPr>
        <w:t>, and share the results</w:t>
      </w:r>
      <w:r w:rsidRPr="001251B5">
        <w:rPr>
          <w:rFonts w:ascii="Garamond" w:eastAsia="Times New Roman" w:hAnsi="Garamond" w:cs="Times New Roman"/>
          <w:b w:val="0"/>
          <w:sz w:val="22"/>
          <w:szCs w:val="22"/>
        </w:rPr>
        <w:t>. Let them take a book (without cost) if they find it useful—and replace it.</w:t>
      </w:r>
    </w:p>
    <w:p w14:paraId="156FE541" w14:textId="06AABBB6" w:rsidR="004C4ACD" w:rsidRPr="001251B5" w:rsidRDefault="004C4ACD" w:rsidP="00A277DC">
      <w:pPr>
        <w:pStyle w:val="Heading1"/>
        <w:numPr>
          <w:ilvl w:val="0"/>
          <w:numId w:val="23"/>
        </w:numPr>
        <w:spacing w:before="0" w:beforeAutospacing="0" w:after="0" w:afterAutospacing="0"/>
        <w:ind w:left="1170"/>
        <w:rPr>
          <w:rFonts w:ascii="Garamond" w:eastAsia="Times New Roman" w:hAnsi="Garamond" w:cs="Times New Roman"/>
          <w:b w:val="0"/>
          <w:sz w:val="22"/>
          <w:szCs w:val="22"/>
        </w:rPr>
      </w:pPr>
      <w:r w:rsidRPr="001251B5">
        <w:rPr>
          <w:rFonts w:ascii="Garamond" w:eastAsia="Times New Roman" w:hAnsi="Garamond" w:cs="Times New Roman"/>
          <w:b w:val="0"/>
          <w:sz w:val="22"/>
          <w:szCs w:val="22"/>
        </w:rPr>
        <w:t>Invite faculty to pair up—to visit each other’s classes, to plan together, to review each other’s teaching.</w:t>
      </w:r>
    </w:p>
    <w:p w14:paraId="53693889" w14:textId="4FFEC5B7" w:rsidR="004C4ACD" w:rsidRPr="001251B5" w:rsidRDefault="004C4ACD" w:rsidP="00A277DC">
      <w:pPr>
        <w:pStyle w:val="Heading1"/>
        <w:numPr>
          <w:ilvl w:val="0"/>
          <w:numId w:val="23"/>
        </w:numPr>
        <w:spacing w:before="0" w:beforeAutospacing="0" w:after="0" w:afterAutospacing="0"/>
        <w:ind w:left="1170"/>
        <w:rPr>
          <w:rFonts w:ascii="Garamond" w:eastAsia="Times New Roman" w:hAnsi="Garamond" w:cs="Times New Roman"/>
          <w:b w:val="0"/>
          <w:sz w:val="22"/>
          <w:szCs w:val="22"/>
        </w:rPr>
      </w:pPr>
      <w:r w:rsidRPr="001251B5">
        <w:rPr>
          <w:rFonts w:ascii="Garamond" w:eastAsia="Times New Roman" w:hAnsi="Garamond" w:cs="Times New Roman"/>
          <w:b w:val="0"/>
          <w:sz w:val="22"/>
          <w:szCs w:val="22"/>
        </w:rPr>
        <w:t>Someone with expertise in instructional design creates a learning experience and invites a faculty member to</w:t>
      </w:r>
      <w:r w:rsidR="00A277DC" w:rsidRPr="001251B5">
        <w:rPr>
          <w:rFonts w:ascii="Garamond" w:eastAsia="Times New Roman" w:hAnsi="Garamond" w:cs="Times New Roman"/>
          <w:b w:val="0"/>
          <w:sz w:val="22"/>
          <w:szCs w:val="22"/>
        </w:rPr>
        <w:t xml:space="preserve"> try</w:t>
      </w:r>
      <w:r w:rsidR="00530755" w:rsidRPr="001251B5">
        <w:rPr>
          <w:rFonts w:ascii="Garamond" w:eastAsia="Times New Roman" w:hAnsi="Garamond" w:cs="Times New Roman"/>
          <w:b w:val="0"/>
          <w:sz w:val="22"/>
          <w:szCs w:val="22"/>
        </w:rPr>
        <w:t xml:space="preserve"> it. Promise the faculty that </w:t>
      </w:r>
      <w:r w:rsidR="00A277DC" w:rsidRPr="001251B5">
        <w:rPr>
          <w:rFonts w:ascii="Garamond" w:eastAsia="Times New Roman" w:hAnsi="Garamond" w:cs="Times New Roman"/>
          <w:b w:val="0"/>
          <w:sz w:val="22"/>
          <w:szCs w:val="22"/>
        </w:rPr>
        <w:t>they</w:t>
      </w:r>
      <w:r w:rsidRPr="001251B5">
        <w:rPr>
          <w:rFonts w:ascii="Garamond" w:eastAsia="Times New Roman" w:hAnsi="Garamond" w:cs="Times New Roman"/>
          <w:b w:val="0"/>
          <w:sz w:val="22"/>
          <w:szCs w:val="22"/>
        </w:rPr>
        <w:t xml:space="preserve"> will never</w:t>
      </w:r>
      <w:r w:rsidR="00A277DC" w:rsidRPr="001251B5">
        <w:rPr>
          <w:rFonts w:ascii="Garamond" w:eastAsia="Times New Roman" w:hAnsi="Garamond" w:cs="Times New Roman"/>
          <w:b w:val="0"/>
          <w:sz w:val="22"/>
          <w:szCs w:val="22"/>
        </w:rPr>
        <w:t xml:space="preserve"> be placed</w:t>
      </w:r>
      <w:r w:rsidRPr="001251B5">
        <w:rPr>
          <w:rFonts w:ascii="Garamond" w:eastAsia="Times New Roman" w:hAnsi="Garamond" w:cs="Times New Roman"/>
          <w:b w:val="0"/>
          <w:sz w:val="22"/>
          <w:szCs w:val="22"/>
        </w:rPr>
        <w:t xml:space="preserve"> in a</w:t>
      </w:r>
      <w:r w:rsidR="00A277DC" w:rsidRPr="001251B5">
        <w:rPr>
          <w:rFonts w:ascii="Garamond" w:eastAsia="Times New Roman" w:hAnsi="Garamond" w:cs="Times New Roman"/>
          <w:b w:val="0"/>
          <w:sz w:val="22"/>
          <w:szCs w:val="22"/>
        </w:rPr>
        <w:t>n embarrassing</w:t>
      </w:r>
      <w:r w:rsidRPr="001251B5">
        <w:rPr>
          <w:rFonts w:ascii="Garamond" w:eastAsia="Times New Roman" w:hAnsi="Garamond" w:cs="Times New Roman"/>
          <w:b w:val="0"/>
          <w:sz w:val="22"/>
          <w:szCs w:val="22"/>
        </w:rPr>
        <w:t xml:space="preserve"> situation</w:t>
      </w:r>
      <w:r w:rsidR="00A277DC" w:rsidRPr="001251B5">
        <w:rPr>
          <w:rFonts w:ascii="Garamond" w:eastAsia="Times New Roman" w:hAnsi="Garamond" w:cs="Times New Roman"/>
          <w:b w:val="0"/>
          <w:sz w:val="22"/>
          <w:szCs w:val="22"/>
        </w:rPr>
        <w:t>.</w:t>
      </w:r>
      <w:r w:rsidRPr="001251B5">
        <w:rPr>
          <w:rFonts w:ascii="Garamond" w:eastAsia="Times New Roman" w:hAnsi="Garamond" w:cs="Times New Roman"/>
          <w:b w:val="0"/>
          <w:sz w:val="22"/>
          <w:szCs w:val="22"/>
        </w:rPr>
        <w:t xml:space="preserve"> </w:t>
      </w:r>
    </w:p>
    <w:p w14:paraId="372C17B6" w14:textId="77777777" w:rsidR="00A277DC" w:rsidRPr="001251B5" w:rsidRDefault="00A277DC" w:rsidP="00A1665A">
      <w:pPr>
        <w:pStyle w:val="Heading1"/>
        <w:spacing w:before="0" w:beforeAutospacing="0" w:after="0" w:afterAutospacing="0"/>
        <w:ind w:firstLine="720"/>
        <w:rPr>
          <w:rFonts w:ascii="Garamond" w:eastAsia="Times New Roman" w:hAnsi="Garamond" w:cs="Times New Roman"/>
          <w:b w:val="0"/>
          <w:sz w:val="22"/>
          <w:szCs w:val="22"/>
        </w:rPr>
      </w:pPr>
    </w:p>
    <w:p w14:paraId="6704F96E" w14:textId="53D5DBED" w:rsidR="0000433E" w:rsidRPr="001251B5" w:rsidRDefault="004C4ACD" w:rsidP="00A1665A">
      <w:pPr>
        <w:pStyle w:val="Heading1"/>
        <w:spacing w:before="0" w:beforeAutospacing="0" w:after="0" w:afterAutospacing="0"/>
        <w:ind w:firstLine="720"/>
        <w:rPr>
          <w:rFonts w:ascii="Garamond" w:eastAsia="Times New Roman" w:hAnsi="Garamond" w:cs="Times New Roman"/>
          <w:b w:val="0"/>
          <w:sz w:val="22"/>
          <w:szCs w:val="22"/>
        </w:rPr>
      </w:pPr>
      <w:r w:rsidRPr="001251B5">
        <w:rPr>
          <w:rFonts w:ascii="Garamond" w:eastAsia="Times New Roman" w:hAnsi="Garamond" w:cs="Times New Roman"/>
          <w:b w:val="0"/>
          <w:sz w:val="22"/>
          <w:szCs w:val="22"/>
        </w:rPr>
        <w:t xml:space="preserve">2. </w:t>
      </w:r>
      <w:r w:rsidR="00E82447" w:rsidRPr="001251B5">
        <w:rPr>
          <w:rFonts w:ascii="Garamond" w:eastAsia="Times New Roman" w:hAnsi="Garamond" w:cs="Times New Roman"/>
          <w:b w:val="0"/>
          <w:sz w:val="22"/>
          <w:szCs w:val="22"/>
        </w:rPr>
        <w:t>As a teacher, t</w:t>
      </w:r>
      <w:r w:rsidR="004E3DC6" w:rsidRPr="001251B5">
        <w:rPr>
          <w:rFonts w:ascii="Garamond" w:eastAsia="Times New Roman" w:hAnsi="Garamond" w:cs="Times New Roman"/>
          <w:b w:val="0"/>
          <w:sz w:val="22"/>
          <w:szCs w:val="22"/>
        </w:rPr>
        <w:t>hink in terms of a handful of categories</w:t>
      </w:r>
      <w:r w:rsidR="0000433E" w:rsidRPr="001251B5">
        <w:rPr>
          <w:rFonts w:ascii="Garamond" w:eastAsia="Times New Roman" w:hAnsi="Garamond" w:cs="Times New Roman"/>
          <w:b w:val="0"/>
          <w:sz w:val="22"/>
          <w:szCs w:val="22"/>
        </w:rPr>
        <w:t xml:space="preserve"> th</w:t>
      </w:r>
      <w:r w:rsidR="00D572E9" w:rsidRPr="001251B5">
        <w:rPr>
          <w:rFonts w:ascii="Garamond" w:eastAsia="Times New Roman" w:hAnsi="Garamond" w:cs="Times New Roman"/>
          <w:b w:val="0"/>
          <w:sz w:val="22"/>
          <w:szCs w:val="22"/>
        </w:rPr>
        <w:t>at are consistent your value commitments</w:t>
      </w:r>
      <w:r w:rsidR="0000433E" w:rsidRPr="001251B5">
        <w:rPr>
          <w:rFonts w:ascii="Garamond" w:eastAsia="Times New Roman" w:hAnsi="Garamond" w:cs="Times New Roman"/>
          <w:b w:val="0"/>
          <w:sz w:val="22"/>
          <w:szCs w:val="22"/>
        </w:rPr>
        <w:t xml:space="preserve"> and perspectives on l</w:t>
      </w:r>
      <w:r w:rsidR="004E3DC6" w:rsidRPr="001251B5">
        <w:rPr>
          <w:rFonts w:ascii="Garamond" w:eastAsia="Times New Roman" w:hAnsi="Garamond" w:cs="Times New Roman"/>
          <w:b w:val="0"/>
          <w:sz w:val="22"/>
          <w:szCs w:val="22"/>
        </w:rPr>
        <w:t xml:space="preserve">earning and human development. Methods will fit more than one category to </w:t>
      </w:r>
      <w:r w:rsidR="002E3E40" w:rsidRPr="001251B5">
        <w:rPr>
          <w:rFonts w:ascii="Garamond" w:eastAsia="Times New Roman" w:hAnsi="Garamond" w:cs="Times New Roman"/>
          <w:b w:val="0"/>
          <w:sz w:val="22"/>
          <w:szCs w:val="22"/>
        </w:rPr>
        <w:t>be sure;</w:t>
      </w:r>
      <w:r w:rsidR="00530755" w:rsidRPr="001251B5">
        <w:rPr>
          <w:rFonts w:ascii="Garamond" w:eastAsia="Times New Roman" w:hAnsi="Garamond" w:cs="Times New Roman"/>
          <w:b w:val="0"/>
          <w:sz w:val="22"/>
          <w:szCs w:val="22"/>
        </w:rPr>
        <w:t xml:space="preserve"> but having the </w:t>
      </w:r>
      <w:r w:rsidR="00A1665A" w:rsidRPr="001251B5">
        <w:rPr>
          <w:rFonts w:ascii="Garamond" w:eastAsia="Times New Roman" w:hAnsi="Garamond" w:cs="Times New Roman"/>
          <w:b w:val="0"/>
          <w:sz w:val="22"/>
          <w:szCs w:val="22"/>
        </w:rPr>
        <w:t>categories</w:t>
      </w:r>
      <w:r w:rsidR="00530755" w:rsidRPr="001251B5">
        <w:rPr>
          <w:rFonts w:ascii="Garamond" w:eastAsia="Times New Roman" w:hAnsi="Garamond" w:cs="Times New Roman"/>
          <w:b w:val="0"/>
          <w:sz w:val="22"/>
          <w:szCs w:val="22"/>
        </w:rPr>
        <w:t xml:space="preserve"> in mind</w:t>
      </w:r>
      <w:r w:rsidR="004E3DC6" w:rsidRPr="001251B5">
        <w:rPr>
          <w:rFonts w:ascii="Garamond" w:eastAsia="Times New Roman" w:hAnsi="Garamond" w:cs="Times New Roman"/>
          <w:b w:val="0"/>
          <w:sz w:val="22"/>
          <w:szCs w:val="22"/>
        </w:rPr>
        <w:t xml:space="preserve"> may trigger a </w:t>
      </w:r>
      <w:r w:rsidR="00593FA0" w:rsidRPr="001251B5">
        <w:rPr>
          <w:rFonts w:ascii="Garamond" w:eastAsia="Times New Roman" w:hAnsi="Garamond" w:cs="Times New Roman"/>
          <w:b w:val="0"/>
          <w:sz w:val="22"/>
          <w:szCs w:val="22"/>
        </w:rPr>
        <w:t xml:space="preserve">memory of </w:t>
      </w:r>
      <w:r w:rsidR="0000433E" w:rsidRPr="001251B5">
        <w:rPr>
          <w:rFonts w:ascii="Garamond" w:eastAsia="Times New Roman" w:hAnsi="Garamond" w:cs="Times New Roman"/>
          <w:b w:val="0"/>
          <w:sz w:val="22"/>
          <w:szCs w:val="22"/>
        </w:rPr>
        <w:t>methods</w:t>
      </w:r>
      <w:r w:rsidR="00A1665A" w:rsidRPr="001251B5">
        <w:rPr>
          <w:rFonts w:ascii="Garamond" w:eastAsia="Times New Roman" w:hAnsi="Garamond" w:cs="Times New Roman"/>
          <w:b w:val="0"/>
          <w:sz w:val="22"/>
          <w:szCs w:val="22"/>
        </w:rPr>
        <w:t xml:space="preserve">, suggest </w:t>
      </w:r>
      <w:r w:rsidR="0024489A" w:rsidRPr="001251B5">
        <w:rPr>
          <w:rFonts w:ascii="Garamond" w:eastAsia="Times New Roman" w:hAnsi="Garamond" w:cs="Times New Roman"/>
          <w:b w:val="0"/>
          <w:sz w:val="22"/>
          <w:szCs w:val="22"/>
        </w:rPr>
        <w:t xml:space="preserve">new </w:t>
      </w:r>
      <w:r w:rsidR="00A1665A" w:rsidRPr="001251B5">
        <w:rPr>
          <w:rFonts w:ascii="Garamond" w:eastAsia="Times New Roman" w:hAnsi="Garamond" w:cs="Times New Roman"/>
          <w:b w:val="0"/>
          <w:sz w:val="22"/>
          <w:szCs w:val="22"/>
        </w:rPr>
        <w:t>ideas, and</w:t>
      </w:r>
      <w:r w:rsidR="004E3DC6" w:rsidRPr="001251B5">
        <w:rPr>
          <w:rFonts w:ascii="Garamond" w:eastAsia="Times New Roman" w:hAnsi="Garamond" w:cs="Times New Roman"/>
          <w:b w:val="0"/>
          <w:sz w:val="22"/>
          <w:szCs w:val="22"/>
        </w:rPr>
        <w:t xml:space="preserve"> more importantly</w:t>
      </w:r>
      <w:r w:rsidR="00593FA0" w:rsidRPr="001251B5">
        <w:rPr>
          <w:rFonts w:ascii="Garamond" w:eastAsia="Times New Roman" w:hAnsi="Garamond" w:cs="Times New Roman"/>
          <w:b w:val="0"/>
          <w:sz w:val="22"/>
          <w:szCs w:val="22"/>
        </w:rPr>
        <w:t>,</w:t>
      </w:r>
      <w:r w:rsidR="00A1665A" w:rsidRPr="001251B5">
        <w:rPr>
          <w:rFonts w:ascii="Garamond" w:eastAsia="Times New Roman" w:hAnsi="Garamond" w:cs="Times New Roman"/>
          <w:b w:val="0"/>
          <w:sz w:val="22"/>
          <w:szCs w:val="22"/>
        </w:rPr>
        <w:t xml:space="preserve"> stimulate </w:t>
      </w:r>
      <w:r w:rsidR="00593FA0" w:rsidRPr="001251B5">
        <w:rPr>
          <w:rFonts w:ascii="Garamond" w:eastAsia="Times New Roman" w:hAnsi="Garamond" w:cs="Times New Roman"/>
          <w:b w:val="0"/>
          <w:sz w:val="22"/>
          <w:szCs w:val="22"/>
        </w:rPr>
        <w:t xml:space="preserve">variety in </w:t>
      </w:r>
      <w:r w:rsidR="0024489A" w:rsidRPr="001251B5">
        <w:rPr>
          <w:rFonts w:ascii="Garamond" w:eastAsia="Times New Roman" w:hAnsi="Garamond" w:cs="Times New Roman"/>
          <w:b w:val="0"/>
          <w:sz w:val="22"/>
          <w:szCs w:val="22"/>
        </w:rPr>
        <w:t>the ways you</w:t>
      </w:r>
      <w:r w:rsidR="00A1665A" w:rsidRPr="001251B5">
        <w:rPr>
          <w:rFonts w:ascii="Garamond" w:eastAsia="Times New Roman" w:hAnsi="Garamond" w:cs="Times New Roman"/>
          <w:b w:val="0"/>
          <w:sz w:val="22"/>
          <w:szCs w:val="22"/>
        </w:rPr>
        <w:t xml:space="preserve"> engage learners</w:t>
      </w:r>
      <w:r w:rsidR="0000433E" w:rsidRPr="001251B5">
        <w:rPr>
          <w:rFonts w:ascii="Garamond" w:eastAsia="Times New Roman" w:hAnsi="Garamond" w:cs="Times New Roman"/>
          <w:b w:val="0"/>
          <w:sz w:val="22"/>
          <w:szCs w:val="22"/>
        </w:rPr>
        <w:t xml:space="preserve">. </w:t>
      </w:r>
      <w:r w:rsidR="0024489A" w:rsidRPr="001251B5">
        <w:rPr>
          <w:rFonts w:ascii="Garamond" w:eastAsia="Times New Roman" w:hAnsi="Garamond" w:cs="Times New Roman"/>
          <w:b w:val="0"/>
          <w:sz w:val="22"/>
          <w:szCs w:val="22"/>
        </w:rPr>
        <w:t>Here are some categories:</w:t>
      </w:r>
    </w:p>
    <w:p w14:paraId="5966BDF6" w14:textId="77777777" w:rsidR="00593FA0" w:rsidRPr="001251B5" w:rsidRDefault="00593FA0" w:rsidP="00593FA0">
      <w:pPr>
        <w:pStyle w:val="Heading1"/>
        <w:spacing w:before="0" w:beforeAutospacing="0" w:after="0" w:afterAutospacing="0"/>
        <w:rPr>
          <w:rFonts w:ascii="Garamond" w:eastAsia="Times New Roman" w:hAnsi="Garamond" w:cs="Times New Roman"/>
          <w:b w:val="0"/>
          <w:sz w:val="22"/>
          <w:szCs w:val="22"/>
        </w:rPr>
      </w:pPr>
    </w:p>
    <w:p w14:paraId="55926DFE" w14:textId="2708EA0C" w:rsidR="00593FA0" w:rsidRPr="001251B5" w:rsidRDefault="00593FA0" w:rsidP="00593FA0">
      <w:pPr>
        <w:pStyle w:val="Heading1"/>
        <w:spacing w:before="0" w:beforeAutospacing="0" w:after="0" w:afterAutospacing="0"/>
        <w:rPr>
          <w:rFonts w:ascii="Garamond" w:eastAsia="Times New Roman" w:hAnsi="Garamond" w:cs="Times New Roman"/>
          <w:b w:val="0"/>
          <w:sz w:val="24"/>
          <w:szCs w:val="24"/>
          <w:u w:val="single"/>
        </w:rPr>
      </w:pPr>
      <w:r w:rsidRPr="001251B5">
        <w:rPr>
          <w:rFonts w:ascii="Garamond" w:eastAsia="Times New Roman" w:hAnsi="Garamond" w:cs="Times New Roman"/>
          <w:b w:val="0"/>
          <w:sz w:val="24"/>
          <w:szCs w:val="24"/>
          <w:u w:val="single"/>
        </w:rPr>
        <w:t>It’s as Simple as Breathing!</w:t>
      </w:r>
    </w:p>
    <w:p w14:paraId="09E9D921" w14:textId="77777777" w:rsidR="001251B5" w:rsidRDefault="001251B5" w:rsidP="00DD37CD">
      <w:pPr>
        <w:rPr>
          <w:rFonts w:ascii="Garamond" w:eastAsia="Times New Roman" w:hAnsi="Garamond" w:cs="Times New Roman"/>
          <w:sz w:val="22"/>
          <w:szCs w:val="22"/>
        </w:rPr>
      </w:pPr>
    </w:p>
    <w:p w14:paraId="755A99ED" w14:textId="77777777" w:rsidR="00DD2147" w:rsidRPr="001251B5" w:rsidRDefault="0000433E" w:rsidP="00DD37CD">
      <w:pPr>
        <w:rPr>
          <w:rFonts w:ascii="Garamond" w:eastAsia="Times New Roman" w:hAnsi="Garamond" w:cs="Times New Roman"/>
          <w:sz w:val="22"/>
          <w:szCs w:val="22"/>
        </w:rPr>
      </w:pPr>
      <w:r w:rsidRPr="001251B5">
        <w:rPr>
          <w:rFonts w:ascii="Garamond" w:eastAsia="Times New Roman" w:hAnsi="Garamond" w:cs="Times New Roman"/>
          <w:sz w:val="22"/>
          <w:szCs w:val="22"/>
        </w:rPr>
        <w:t>At its simplest you can think of teaching and learning as a rhythm</w:t>
      </w:r>
      <w:r w:rsidR="00DD37CD" w:rsidRPr="001251B5">
        <w:rPr>
          <w:rFonts w:ascii="Garamond" w:eastAsia="Times New Roman" w:hAnsi="Garamond" w:cs="Times New Roman"/>
          <w:sz w:val="22"/>
          <w:szCs w:val="22"/>
        </w:rPr>
        <w:t xml:space="preserve">—a rhythm that is as necessary for learning as breathing is for living. </w:t>
      </w:r>
    </w:p>
    <w:p w14:paraId="6B3B754B" w14:textId="77777777" w:rsidR="001251B5" w:rsidRDefault="001251B5" w:rsidP="00DD2147">
      <w:pPr>
        <w:ind w:firstLine="720"/>
        <w:rPr>
          <w:rFonts w:ascii="Garamond" w:eastAsia="Times New Roman" w:hAnsi="Garamond" w:cs="Times New Roman"/>
          <w:b/>
          <w:sz w:val="22"/>
          <w:szCs w:val="22"/>
        </w:rPr>
      </w:pPr>
    </w:p>
    <w:p w14:paraId="506CB8DB" w14:textId="2FD021FE" w:rsidR="00DD2147" w:rsidRPr="001251B5" w:rsidRDefault="00944AAD" w:rsidP="00DD2147">
      <w:pPr>
        <w:ind w:firstLine="720"/>
        <w:rPr>
          <w:rFonts w:ascii="Garamond" w:hAnsi="Garamond"/>
          <w:bCs/>
          <w:sz w:val="22"/>
          <w:szCs w:val="22"/>
        </w:rPr>
      </w:pPr>
      <w:r w:rsidRPr="001251B5">
        <w:rPr>
          <w:rFonts w:ascii="Garamond" w:eastAsia="Times New Roman" w:hAnsi="Garamond" w:cs="Times New Roman"/>
          <w:b/>
          <w:sz w:val="22"/>
          <w:szCs w:val="22"/>
        </w:rPr>
        <w:t>Perceiving</w:t>
      </w:r>
      <w:r w:rsidRPr="001251B5">
        <w:rPr>
          <w:rFonts w:ascii="Garamond" w:eastAsia="Times New Roman" w:hAnsi="Garamond" w:cs="Times New Roman"/>
          <w:sz w:val="22"/>
          <w:szCs w:val="22"/>
        </w:rPr>
        <w:t xml:space="preserve"> </w:t>
      </w:r>
      <w:r w:rsidR="00593FA0" w:rsidRPr="001251B5">
        <w:rPr>
          <w:rFonts w:ascii="Garamond" w:eastAsia="Times New Roman" w:hAnsi="Garamond" w:cs="Times New Roman"/>
          <w:sz w:val="22"/>
          <w:szCs w:val="22"/>
        </w:rPr>
        <w:t>(</w:t>
      </w:r>
      <w:r w:rsidRPr="001251B5">
        <w:rPr>
          <w:rFonts w:ascii="Garamond" w:eastAsia="Times New Roman" w:hAnsi="Garamond" w:cs="Times New Roman"/>
          <w:sz w:val="22"/>
          <w:szCs w:val="22"/>
        </w:rPr>
        <w:t>breathing in—acquisition of information</w:t>
      </w:r>
      <w:r w:rsidR="00593FA0" w:rsidRPr="001251B5">
        <w:rPr>
          <w:rFonts w:ascii="Garamond" w:eastAsia="Times New Roman" w:hAnsi="Garamond" w:cs="Times New Roman"/>
          <w:sz w:val="22"/>
          <w:szCs w:val="22"/>
        </w:rPr>
        <w:t xml:space="preserve">) </w:t>
      </w:r>
      <w:r w:rsidRPr="001251B5">
        <w:rPr>
          <w:rFonts w:ascii="Garamond" w:eastAsia="Times New Roman" w:hAnsi="Garamond" w:cs="Times New Roman"/>
          <w:sz w:val="22"/>
          <w:szCs w:val="22"/>
        </w:rPr>
        <w:t>includes observin</w:t>
      </w:r>
      <w:r w:rsidR="00DD37CD" w:rsidRPr="001251B5">
        <w:rPr>
          <w:rFonts w:ascii="Garamond" w:eastAsia="Times New Roman" w:hAnsi="Garamond" w:cs="Times New Roman"/>
          <w:sz w:val="22"/>
          <w:szCs w:val="22"/>
        </w:rPr>
        <w:t>g, hearing, reading, memorizing.</w:t>
      </w:r>
      <w:r w:rsidRPr="001251B5">
        <w:rPr>
          <w:rFonts w:ascii="Garamond" w:eastAsia="Times New Roman" w:hAnsi="Garamond" w:cs="Times New Roman"/>
          <w:sz w:val="22"/>
          <w:szCs w:val="22"/>
        </w:rPr>
        <w:t xml:space="preserve"> </w:t>
      </w:r>
      <w:r w:rsidR="00DD37CD" w:rsidRPr="001251B5">
        <w:rPr>
          <w:rFonts w:ascii="Garamond" w:hAnsi="Garamond"/>
          <w:bCs/>
          <w:sz w:val="22"/>
          <w:szCs w:val="22"/>
        </w:rPr>
        <w:t xml:space="preserve">You want learners to perceive effectively—in other words, you want something better than “in one ear and out the other”.  So, what can you do to stimulate </w:t>
      </w:r>
      <w:r w:rsidR="00DD37CD" w:rsidRPr="001251B5">
        <w:rPr>
          <w:rFonts w:ascii="Garamond" w:hAnsi="Garamond"/>
          <w:bCs/>
          <w:i/>
          <w:sz w:val="22"/>
          <w:szCs w:val="22"/>
        </w:rPr>
        <w:t xml:space="preserve">attention </w:t>
      </w:r>
      <w:r w:rsidR="00DD37CD" w:rsidRPr="001251B5">
        <w:rPr>
          <w:rFonts w:ascii="Garamond" w:hAnsi="Garamond"/>
          <w:bCs/>
          <w:sz w:val="22"/>
          <w:szCs w:val="22"/>
        </w:rPr>
        <w:t xml:space="preserve">to what a learner is observing, hearing, or reading? </w:t>
      </w:r>
      <w:r w:rsidR="00E51015" w:rsidRPr="001251B5">
        <w:rPr>
          <w:rFonts w:ascii="Garamond" w:hAnsi="Garamond"/>
          <w:bCs/>
          <w:sz w:val="22"/>
          <w:szCs w:val="22"/>
        </w:rPr>
        <w:t xml:space="preserve">What can you do to assist memorization of facts or concepts that you believe are </w:t>
      </w:r>
      <w:r w:rsidR="00E51015" w:rsidRPr="001251B5">
        <w:rPr>
          <w:rFonts w:ascii="Garamond" w:hAnsi="Garamond"/>
          <w:bCs/>
          <w:i/>
          <w:sz w:val="22"/>
          <w:szCs w:val="22"/>
        </w:rPr>
        <w:t>essential to continued learning</w:t>
      </w:r>
      <w:r w:rsidR="00E51015" w:rsidRPr="001251B5">
        <w:rPr>
          <w:rFonts w:ascii="Garamond" w:hAnsi="Garamond"/>
          <w:bCs/>
          <w:sz w:val="22"/>
          <w:szCs w:val="22"/>
        </w:rPr>
        <w:t xml:space="preserve"> in a subject area? </w:t>
      </w:r>
    </w:p>
    <w:p w14:paraId="32AFBE5E" w14:textId="75FC912E" w:rsidR="00DD37CD" w:rsidRPr="001251B5" w:rsidRDefault="00944AAD" w:rsidP="00DD2147">
      <w:pPr>
        <w:ind w:firstLine="720"/>
        <w:rPr>
          <w:rFonts w:ascii="Garamond" w:hAnsi="Garamond"/>
          <w:bCs/>
          <w:sz w:val="22"/>
          <w:szCs w:val="22"/>
        </w:rPr>
      </w:pPr>
      <w:r w:rsidRPr="001251B5">
        <w:rPr>
          <w:rFonts w:ascii="Garamond" w:eastAsia="Times New Roman" w:hAnsi="Garamond" w:cs="Times New Roman"/>
          <w:b/>
          <w:sz w:val="22"/>
          <w:szCs w:val="22"/>
        </w:rPr>
        <w:lastRenderedPageBreak/>
        <w:t xml:space="preserve">Processing </w:t>
      </w:r>
      <w:r w:rsidR="00593FA0" w:rsidRPr="001251B5">
        <w:rPr>
          <w:rFonts w:ascii="Garamond" w:eastAsia="Times New Roman" w:hAnsi="Garamond" w:cs="Times New Roman"/>
          <w:sz w:val="22"/>
          <w:szCs w:val="22"/>
        </w:rPr>
        <w:t>(</w:t>
      </w:r>
      <w:r w:rsidRPr="001251B5">
        <w:rPr>
          <w:rFonts w:ascii="Garamond" w:eastAsia="Times New Roman" w:hAnsi="Garamond" w:cs="Times New Roman"/>
          <w:sz w:val="22"/>
          <w:szCs w:val="22"/>
        </w:rPr>
        <w:t>breathing out—processing of information</w:t>
      </w:r>
      <w:r w:rsidR="00593FA0" w:rsidRPr="001251B5">
        <w:rPr>
          <w:rFonts w:ascii="Garamond" w:eastAsia="Times New Roman" w:hAnsi="Garamond" w:cs="Times New Roman"/>
          <w:sz w:val="22"/>
          <w:szCs w:val="22"/>
        </w:rPr>
        <w:t xml:space="preserve">) </w:t>
      </w:r>
      <w:r w:rsidRPr="001251B5">
        <w:rPr>
          <w:rFonts w:ascii="Garamond" w:eastAsia="Times New Roman" w:hAnsi="Garamond" w:cs="Times New Roman"/>
          <w:sz w:val="22"/>
          <w:szCs w:val="22"/>
        </w:rPr>
        <w:t>includes reflecting, connecting, deciding, feeling, valuing, practicing</w:t>
      </w:r>
      <w:r w:rsidR="00593FA0" w:rsidRPr="001251B5">
        <w:rPr>
          <w:rFonts w:ascii="Garamond" w:eastAsia="Times New Roman" w:hAnsi="Garamond" w:cs="Times New Roman"/>
          <w:sz w:val="22"/>
          <w:szCs w:val="22"/>
        </w:rPr>
        <w:t xml:space="preserve">. </w:t>
      </w:r>
      <w:r w:rsidR="00DD37CD" w:rsidRPr="001251B5">
        <w:rPr>
          <w:rFonts w:ascii="Garamond" w:eastAsia="Times New Roman" w:hAnsi="Garamond" w:cs="Times New Roman"/>
          <w:sz w:val="22"/>
          <w:szCs w:val="22"/>
        </w:rPr>
        <w:t xml:space="preserve">You want learners </w:t>
      </w:r>
      <w:r w:rsidR="00E51015" w:rsidRPr="001251B5">
        <w:rPr>
          <w:rFonts w:ascii="Garamond" w:eastAsia="Times New Roman" w:hAnsi="Garamond" w:cs="Times New Roman"/>
          <w:sz w:val="22"/>
          <w:szCs w:val="22"/>
        </w:rPr>
        <w:t>to do more with information than</w:t>
      </w:r>
      <w:r w:rsidR="00DD37CD" w:rsidRPr="001251B5">
        <w:rPr>
          <w:rFonts w:ascii="Garamond" w:eastAsia="Times New Roman" w:hAnsi="Garamond" w:cs="Times New Roman"/>
          <w:sz w:val="22"/>
          <w:szCs w:val="22"/>
        </w:rPr>
        <w:t xml:space="preserve"> </w:t>
      </w:r>
      <w:r w:rsidR="0024489A" w:rsidRPr="001251B5">
        <w:rPr>
          <w:rFonts w:ascii="Garamond" w:eastAsia="Times New Roman" w:hAnsi="Garamond" w:cs="Times New Roman"/>
          <w:sz w:val="22"/>
          <w:szCs w:val="22"/>
        </w:rPr>
        <w:t xml:space="preserve">to </w:t>
      </w:r>
      <w:r w:rsidR="00DD37CD" w:rsidRPr="001251B5">
        <w:rPr>
          <w:rFonts w:ascii="Garamond" w:eastAsia="Times New Roman" w:hAnsi="Garamond" w:cs="Times New Roman"/>
          <w:sz w:val="22"/>
          <w:szCs w:val="22"/>
        </w:rPr>
        <w:t xml:space="preserve">store it or regurgitate it. </w:t>
      </w:r>
      <w:r w:rsidR="00E51015" w:rsidRPr="001251B5">
        <w:rPr>
          <w:rFonts w:ascii="Garamond" w:eastAsia="Times New Roman" w:hAnsi="Garamond" w:cs="Times New Roman"/>
          <w:sz w:val="22"/>
          <w:szCs w:val="22"/>
        </w:rPr>
        <w:t xml:space="preserve">So, </w:t>
      </w:r>
      <w:r w:rsidR="0024489A" w:rsidRPr="001251B5">
        <w:rPr>
          <w:rFonts w:ascii="Garamond" w:eastAsia="Times New Roman" w:hAnsi="Garamond" w:cs="Times New Roman"/>
          <w:sz w:val="22"/>
          <w:szCs w:val="22"/>
        </w:rPr>
        <w:t xml:space="preserve">what will you do to help </w:t>
      </w:r>
      <w:r w:rsidR="00E51015" w:rsidRPr="001251B5">
        <w:rPr>
          <w:rFonts w:ascii="Garamond" w:hAnsi="Garamond"/>
          <w:bCs/>
          <w:sz w:val="22"/>
          <w:szCs w:val="22"/>
        </w:rPr>
        <w:t>l</w:t>
      </w:r>
      <w:r w:rsidR="0024489A" w:rsidRPr="001251B5">
        <w:rPr>
          <w:rFonts w:ascii="Garamond" w:hAnsi="Garamond"/>
          <w:bCs/>
          <w:sz w:val="22"/>
          <w:szCs w:val="22"/>
        </w:rPr>
        <w:t xml:space="preserve">earners </w:t>
      </w:r>
      <w:r w:rsidR="00E51015" w:rsidRPr="001251B5">
        <w:rPr>
          <w:rFonts w:ascii="Garamond" w:hAnsi="Garamond"/>
          <w:bCs/>
          <w:sz w:val="22"/>
          <w:szCs w:val="22"/>
        </w:rPr>
        <w:t xml:space="preserve">internalize </w:t>
      </w:r>
      <w:r w:rsidR="00DD37CD" w:rsidRPr="001251B5">
        <w:rPr>
          <w:rFonts w:ascii="Garamond" w:hAnsi="Garamond"/>
          <w:bCs/>
          <w:sz w:val="22"/>
          <w:szCs w:val="22"/>
        </w:rPr>
        <w:t xml:space="preserve">meaning and </w:t>
      </w:r>
      <w:r w:rsidR="00D572E9" w:rsidRPr="001251B5">
        <w:rPr>
          <w:rFonts w:ascii="Garamond" w:hAnsi="Garamond"/>
          <w:bCs/>
          <w:sz w:val="22"/>
          <w:szCs w:val="22"/>
        </w:rPr>
        <w:t>responsibly apply what they are learning</w:t>
      </w:r>
      <w:r w:rsidR="00DD37CD" w:rsidRPr="001251B5">
        <w:rPr>
          <w:rFonts w:ascii="Garamond" w:hAnsi="Garamond"/>
          <w:bCs/>
          <w:sz w:val="22"/>
          <w:szCs w:val="22"/>
        </w:rPr>
        <w:t xml:space="preserve">? </w:t>
      </w:r>
    </w:p>
    <w:p w14:paraId="33FE0AA3" w14:textId="77777777" w:rsidR="00A277DC" w:rsidRPr="001251B5" w:rsidRDefault="00A277DC" w:rsidP="00593FA0">
      <w:pPr>
        <w:pStyle w:val="Heading1"/>
        <w:spacing w:before="0" w:beforeAutospacing="0" w:after="0" w:afterAutospacing="0"/>
        <w:rPr>
          <w:rFonts w:ascii="Garamond" w:eastAsia="Times New Roman" w:hAnsi="Garamond" w:cs="Times New Roman"/>
          <w:b w:val="0"/>
          <w:sz w:val="22"/>
          <w:szCs w:val="22"/>
          <w:u w:val="single"/>
        </w:rPr>
      </w:pPr>
    </w:p>
    <w:p w14:paraId="39D2A6F7" w14:textId="1EA92F30" w:rsidR="00DD37CD" w:rsidRPr="001251B5" w:rsidRDefault="00DD37CD" w:rsidP="00593FA0">
      <w:pPr>
        <w:pStyle w:val="Heading1"/>
        <w:spacing w:before="0" w:beforeAutospacing="0" w:after="0" w:afterAutospacing="0"/>
        <w:rPr>
          <w:rFonts w:ascii="Garamond" w:eastAsia="Times New Roman" w:hAnsi="Garamond" w:cs="Times New Roman"/>
          <w:b w:val="0"/>
          <w:sz w:val="24"/>
          <w:szCs w:val="24"/>
          <w:u w:val="single"/>
        </w:rPr>
      </w:pPr>
      <w:r w:rsidRPr="001251B5">
        <w:rPr>
          <w:rFonts w:ascii="Garamond" w:eastAsia="Times New Roman" w:hAnsi="Garamond" w:cs="Times New Roman"/>
          <w:b w:val="0"/>
          <w:sz w:val="24"/>
          <w:szCs w:val="24"/>
          <w:u w:val="single"/>
        </w:rPr>
        <w:t>Kolb’s Categories of Experiential Learning</w:t>
      </w:r>
    </w:p>
    <w:p w14:paraId="630FA1D3" w14:textId="77777777" w:rsidR="001251B5" w:rsidRDefault="001251B5" w:rsidP="0024489A">
      <w:pPr>
        <w:pStyle w:val="Heading1"/>
        <w:spacing w:before="0" w:beforeAutospacing="0" w:after="0" w:afterAutospacing="0"/>
        <w:rPr>
          <w:rFonts w:ascii="Garamond" w:eastAsia="Times New Roman" w:hAnsi="Garamond" w:cs="Times New Roman"/>
          <w:b w:val="0"/>
          <w:sz w:val="22"/>
          <w:szCs w:val="22"/>
        </w:rPr>
      </w:pPr>
    </w:p>
    <w:p w14:paraId="4B5CC410" w14:textId="3E390443" w:rsidR="00593FA0" w:rsidRDefault="00593FA0" w:rsidP="0024489A">
      <w:pPr>
        <w:pStyle w:val="Heading1"/>
        <w:spacing w:before="0" w:beforeAutospacing="0" w:after="0" w:afterAutospacing="0"/>
        <w:rPr>
          <w:rFonts w:ascii="Garamond" w:eastAsia="Times New Roman" w:hAnsi="Garamond" w:cs="Times New Roman"/>
          <w:b w:val="0"/>
          <w:sz w:val="22"/>
          <w:szCs w:val="22"/>
        </w:rPr>
      </w:pPr>
      <w:r w:rsidRPr="001251B5">
        <w:rPr>
          <w:rFonts w:ascii="Garamond" w:eastAsia="Times New Roman" w:hAnsi="Garamond" w:cs="Times New Roman"/>
          <w:b w:val="0"/>
          <w:sz w:val="22"/>
          <w:szCs w:val="22"/>
        </w:rPr>
        <w:t>Kolb uses fo</w:t>
      </w:r>
      <w:r w:rsidR="00E51015" w:rsidRPr="001251B5">
        <w:rPr>
          <w:rFonts w:ascii="Garamond" w:eastAsia="Times New Roman" w:hAnsi="Garamond" w:cs="Times New Roman"/>
          <w:b w:val="0"/>
          <w:sz w:val="22"/>
          <w:szCs w:val="22"/>
        </w:rPr>
        <w:t>u</w:t>
      </w:r>
      <w:r w:rsidRPr="001251B5">
        <w:rPr>
          <w:rFonts w:ascii="Garamond" w:eastAsia="Times New Roman" w:hAnsi="Garamond" w:cs="Times New Roman"/>
          <w:b w:val="0"/>
          <w:sz w:val="22"/>
          <w:szCs w:val="22"/>
        </w:rPr>
        <w:t>r categories to describe the acts of learning.</w:t>
      </w:r>
      <w:r w:rsidRPr="001251B5">
        <w:rPr>
          <w:rStyle w:val="FootnoteReference"/>
          <w:rFonts w:ascii="Garamond" w:eastAsia="Times New Roman" w:hAnsi="Garamond" w:cs="Times New Roman"/>
          <w:b w:val="0"/>
          <w:sz w:val="22"/>
          <w:szCs w:val="22"/>
        </w:rPr>
        <w:footnoteReference w:id="2"/>
      </w:r>
      <w:r w:rsidRPr="001251B5">
        <w:rPr>
          <w:rFonts w:ascii="Garamond" w:eastAsia="Times New Roman" w:hAnsi="Garamond" w:cs="Times New Roman"/>
          <w:b w:val="0"/>
          <w:sz w:val="22"/>
          <w:szCs w:val="22"/>
        </w:rPr>
        <w:t xml:space="preserve">  The categories are interconnected </w:t>
      </w:r>
      <w:r w:rsidR="00D572E9" w:rsidRPr="001251B5">
        <w:rPr>
          <w:rFonts w:ascii="Garamond" w:eastAsia="Times New Roman" w:hAnsi="Garamond" w:cs="Times New Roman"/>
          <w:b w:val="0"/>
          <w:sz w:val="22"/>
          <w:szCs w:val="22"/>
        </w:rPr>
        <w:t xml:space="preserve">and nonlinear. </w:t>
      </w:r>
      <w:r w:rsidRPr="001251B5">
        <w:rPr>
          <w:rFonts w:ascii="Garamond" w:eastAsia="Times New Roman" w:hAnsi="Garamond" w:cs="Times New Roman"/>
          <w:b w:val="0"/>
          <w:sz w:val="22"/>
          <w:szCs w:val="22"/>
        </w:rPr>
        <w:t>Kolb’s point is that learners need experience in each category</w:t>
      </w:r>
      <w:r w:rsidR="00E51015" w:rsidRPr="001251B5">
        <w:rPr>
          <w:rFonts w:ascii="Garamond" w:eastAsia="Times New Roman" w:hAnsi="Garamond" w:cs="Times New Roman"/>
          <w:b w:val="0"/>
          <w:sz w:val="22"/>
          <w:szCs w:val="22"/>
        </w:rPr>
        <w:t xml:space="preserve"> for holistic learning</w:t>
      </w:r>
      <w:r w:rsidRPr="001251B5">
        <w:rPr>
          <w:rFonts w:ascii="Garamond" w:eastAsia="Times New Roman" w:hAnsi="Garamond" w:cs="Times New Roman"/>
          <w:b w:val="0"/>
          <w:sz w:val="22"/>
          <w:szCs w:val="22"/>
        </w:rPr>
        <w:t xml:space="preserve">. </w:t>
      </w:r>
    </w:p>
    <w:p w14:paraId="4C87B229" w14:textId="77777777" w:rsidR="001251B5" w:rsidRPr="001251B5" w:rsidRDefault="001251B5" w:rsidP="0024489A">
      <w:pPr>
        <w:pStyle w:val="Heading1"/>
        <w:spacing w:before="0" w:beforeAutospacing="0" w:after="0" w:afterAutospacing="0"/>
        <w:rPr>
          <w:rFonts w:ascii="Garamond" w:eastAsia="Times New Roman" w:hAnsi="Garamond" w:cs="Times New Roman"/>
          <w:b w:val="0"/>
          <w:sz w:val="22"/>
          <w:szCs w:val="22"/>
        </w:rPr>
      </w:pPr>
    </w:p>
    <w:p w14:paraId="0AB4F2C4" w14:textId="441E79BD" w:rsidR="00593FA0" w:rsidRPr="004C4ACD" w:rsidRDefault="001251B5" w:rsidP="00593FA0">
      <w:pPr>
        <w:pStyle w:val="Heading1"/>
        <w:spacing w:before="0" w:beforeAutospacing="0" w:after="0" w:afterAutospacing="0"/>
        <w:rPr>
          <w:rFonts w:ascii="Garamond" w:eastAsia="Times New Roman" w:hAnsi="Garamond" w:cs="Times New Roman"/>
          <w:b w:val="0"/>
          <w:sz w:val="24"/>
          <w:szCs w:val="24"/>
        </w:rPr>
      </w:pPr>
      <w:r w:rsidRPr="004C4ACD">
        <w:rPr>
          <w:rFonts w:ascii="Garamond" w:eastAsia="Times New Roman" w:hAnsi="Garamond" w:cs="Times New Roman"/>
          <w:b w:val="0"/>
          <w:noProof/>
          <w:sz w:val="24"/>
          <w:szCs w:val="24"/>
        </w:rPr>
        <mc:AlternateContent>
          <mc:Choice Requires="wps">
            <w:drawing>
              <wp:anchor distT="0" distB="0" distL="114300" distR="114300" simplePos="0" relativeHeight="251659264" behindDoc="0" locked="0" layoutInCell="1" allowOverlap="1" wp14:anchorId="317B1124" wp14:editId="6A98FB34">
                <wp:simplePos x="0" y="0"/>
                <wp:positionH relativeFrom="column">
                  <wp:posOffset>2286000</wp:posOffset>
                </wp:positionH>
                <wp:positionV relativeFrom="paragraph">
                  <wp:posOffset>285750</wp:posOffset>
                </wp:positionV>
                <wp:extent cx="36576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7318F" w14:textId="0EBC0893" w:rsidR="00530755" w:rsidRPr="001251B5" w:rsidRDefault="00530755">
                            <w:pPr>
                              <w:rPr>
                                <w:rFonts w:ascii="Garamond" w:hAnsi="Garamond"/>
                                <w:sz w:val="20"/>
                                <w:szCs w:val="20"/>
                              </w:rPr>
                            </w:pPr>
                            <w:r w:rsidRPr="001251B5">
                              <w:rPr>
                                <w:rFonts w:ascii="Garamond" w:hAnsi="Garamond"/>
                                <w:i/>
                                <w:sz w:val="20"/>
                                <w:szCs w:val="20"/>
                              </w:rPr>
                              <w:t>Concrete Experience</w:t>
                            </w:r>
                            <w:r w:rsidRPr="001251B5">
                              <w:rPr>
                                <w:rFonts w:ascii="Garamond" w:hAnsi="Garamond"/>
                                <w:sz w:val="20"/>
                                <w:szCs w:val="20"/>
                              </w:rPr>
                              <w:t xml:space="preserve">. </w:t>
                            </w:r>
                            <w:proofErr w:type="gramStart"/>
                            <w:r w:rsidRPr="001251B5">
                              <w:rPr>
                                <w:rFonts w:ascii="Garamond" w:hAnsi="Garamond"/>
                                <w:sz w:val="20"/>
                                <w:szCs w:val="20"/>
                              </w:rPr>
                              <w:t>Doing or having an experience.</w:t>
                            </w:r>
                            <w:proofErr w:type="gramEnd"/>
                          </w:p>
                          <w:p w14:paraId="3A69FA81" w14:textId="5F0EC468" w:rsidR="00530755" w:rsidRPr="001251B5" w:rsidRDefault="00530755">
                            <w:pPr>
                              <w:rPr>
                                <w:rFonts w:ascii="Garamond" w:hAnsi="Garamond"/>
                                <w:sz w:val="20"/>
                                <w:szCs w:val="20"/>
                              </w:rPr>
                            </w:pPr>
                            <w:r w:rsidRPr="001251B5">
                              <w:rPr>
                                <w:rFonts w:ascii="Garamond" w:hAnsi="Garamond"/>
                                <w:i/>
                                <w:sz w:val="20"/>
                                <w:szCs w:val="20"/>
                              </w:rPr>
                              <w:t>Reflective Observation</w:t>
                            </w:r>
                            <w:r w:rsidRPr="001251B5">
                              <w:rPr>
                                <w:rFonts w:ascii="Garamond" w:hAnsi="Garamond"/>
                                <w:sz w:val="20"/>
                                <w:szCs w:val="20"/>
                              </w:rPr>
                              <w:t xml:space="preserve">. </w:t>
                            </w:r>
                            <w:proofErr w:type="gramStart"/>
                            <w:r w:rsidRPr="001251B5">
                              <w:rPr>
                                <w:rFonts w:ascii="Garamond" w:hAnsi="Garamond"/>
                                <w:sz w:val="20"/>
                                <w:szCs w:val="20"/>
                              </w:rPr>
                              <w:t>Reviewing or reflecting on the experience.</w:t>
                            </w:r>
                            <w:proofErr w:type="gramEnd"/>
                          </w:p>
                          <w:p w14:paraId="5491A378" w14:textId="05BB02AC" w:rsidR="00530755" w:rsidRPr="001251B5" w:rsidRDefault="00530755">
                            <w:pPr>
                              <w:rPr>
                                <w:rFonts w:ascii="Garamond" w:hAnsi="Garamond"/>
                                <w:sz w:val="20"/>
                                <w:szCs w:val="20"/>
                              </w:rPr>
                            </w:pPr>
                            <w:r w:rsidRPr="001251B5">
                              <w:rPr>
                                <w:rFonts w:ascii="Garamond" w:hAnsi="Garamond"/>
                                <w:i/>
                                <w:sz w:val="20"/>
                                <w:szCs w:val="20"/>
                              </w:rPr>
                              <w:t>Abstract Conceptualization</w:t>
                            </w:r>
                            <w:r w:rsidRPr="001251B5">
                              <w:rPr>
                                <w:rFonts w:ascii="Garamond" w:hAnsi="Garamond"/>
                                <w:sz w:val="20"/>
                                <w:szCs w:val="20"/>
                              </w:rPr>
                              <w:t>. Concluding or learning from the experience.</w:t>
                            </w:r>
                          </w:p>
                          <w:p w14:paraId="0EE51749" w14:textId="3AA44ABB" w:rsidR="00530755" w:rsidRPr="001251B5" w:rsidRDefault="00530755">
                            <w:pPr>
                              <w:rPr>
                                <w:rFonts w:ascii="Garamond" w:hAnsi="Garamond"/>
                                <w:sz w:val="20"/>
                                <w:szCs w:val="20"/>
                              </w:rPr>
                            </w:pPr>
                            <w:r w:rsidRPr="001251B5">
                              <w:rPr>
                                <w:rFonts w:ascii="Garamond" w:hAnsi="Garamond"/>
                                <w:i/>
                                <w:sz w:val="20"/>
                                <w:szCs w:val="20"/>
                              </w:rPr>
                              <w:t>Active Experimentation</w:t>
                            </w:r>
                            <w:r w:rsidRPr="001251B5">
                              <w:rPr>
                                <w:rFonts w:ascii="Garamond" w:hAnsi="Garamond"/>
                                <w:sz w:val="20"/>
                                <w:szCs w:val="20"/>
                              </w:rPr>
                              <w:t xml:space="preserve">. Planning or trying out what you have learned.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0pt;margin-top:22.5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41c0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" filled="f" stroked="f">
                <v:textbox>
                  <w:txbxContent>
                    <w:p w14:paraId="0697318F" w14:textId="0EBC0893" w:rsidR="00530755" w:rsidRPr="001251B5" w:rsidRDefault="00530755">
                      <w:pPr>
                        <w:rPr>
                          <w:rFonts w:ascii="Garamond" w:hAnsi="Garamond"/>
                          <w:sz w:val="20"/>
                          <w:szCs w:val="20"/>
                        </w:rPr>
                      </w:pPr>
                      <w:r w:rsidRPr="001251B5">
                        <w:rPr>
                          <w:rFonts w:ascii="Garamond" w:hAnsi="Garamond"/>
                          <w:i/>
                          <w:sz w:val="20"/>
                          <w:szCs w:val="20"/>
                        </w:rPr>
                        <w:t>Concrete Experience</w:t>
                      </w:r>
                      <w:r w:rsidRPr="001251B5">
                        <w:rPr>
                          <w:rFonts w:ascii="Garamond" w:hAnsi="Garamond"/>
                          <w:sz w:val="20"/>
                          <w:szCs w:val="20"/>
                        </w:rPr>
                        <w:t xml:space="preserve">. </w:t>
                      </w:r>
                      <w:proofErr w:type="gramStart"/>
                      <w:r w:rsidRPr="001251B5">
                        <w:rPr>
                          <w:rFonts w:ascii="Garamond" w:hAnsi="Garamond"/>
                          <w:sz w:val="20"/>
                          <w:szCs w:val="20"/>
                        </w:rPr>
                        <w:t>Doing or having an experience.</w:t>
                      </w:r>
                      <w:proofErr w:type="gramEnd"/>
                    </w:p>
                    <w:p w14:paraId="3A69FA81" w14:textId="5F0EC468" w:rsidR="00530755" w:rsidRPr="001251B5" w:rsidRDefault="00530755">
                      <w:pPr>
                        <w:rPr>
                          <w:rFonts w:ascii="Garamond" w:hAnsi="Garamond"/>
                          <w:sz w:val="20"/>
                          <w:szCs w:val="20"/>
                        </w:rPr>
                      </w:pPr>
                      <w:r w:rsidRPr="001251B5">
                        <w:rPr>
                          <w:rFonts w:ascii="Garamond" w:hAnsi="Garamond"/>
                          <w:i/>
                          <w:sz w:val="20"/>
                          <w:szCs w:val="20"/>
                        </w:rPr>
                        <w:t>Reflective Observation</w:t>
                      </w:r>
                      <w:r w:rsidRPr="001251B5">
                        <w:rPr>
                          <w:rFonts w:ascii="Garamond" w:hAnsi="Garamond"/>
                          <w:sz w:val="20"/>
                          <w:szCs w:val="20"/>
                        </w:rPr>
                        <w:t xml:space="preserve">. </w:t>
                      </w:r>
                      <w:proofErr w:type="gramStart"/>
                      <w:r w:rsidRPr="001251B5">
                        <w:rPr>
                          <w:rFonts w:ascii="Garamond" w:hAnsi="Garamond"/>
                          <w:sz w:val="20"/>
                          <w:szCs w:val="20"/>
                        </w:rPr>
                        <w:t>Reviewing or reflecting on the experience.</w:t>
                      </w:r>
                      <w:proofErr w:type="gramEnd"/>
                    </w:p>
                    <w:p w14:paraId="5491A378" w14:textId="05BB02AC" w:rsidR="00530755" w:rsidRPr="001251B5" w:rsidRDefault="00530755">
                      <w:pPr>
                        <w:rPr>
                          <w:rFonts w:ascii="Garamond" w:hAnsi="Garamond"/>
                          <w:sz w:val="20"/>
                          <w:szCs w:val="20"/>
                        </w:rPr>
                      </w:pPr>
                      <w:r w:rsidRPr="001251B5">
                        <w:rPr>
                          <w:rFonts w:ascii="Garamond" w:hAnsi="Garamond"/>
                          <w:i/>
                          <w:sz w:val="20"/>
                          <w:szCs w:val="20"/>
                        </w:rPr>
                        <w:t>Abstract Conceptualization</w:t>
                      </w:r>
                      <w:r w:rsidRPr="001251B5">
                        <w:rPr>
                          <w:rFonts w:ascii="Garamond" w:hAnsi="Garamond"/>
                          <w:sz w:val="20"/>
                          <w:szCs w:val="20"/>
                        </w:rPr>
                        <w:t>. Concluding or learning from the experience.</w:t>
                      </w:r>
                    </w:p>
                    <w:p w14:paraId="0EE51749" w14:textId="3AA44ABB" w:rsidR="00530755" w:rsidRPr="001251B5" w:rsidRDefault="00530755">
                      <w:pPr>
                        <w:rPr>
                          <w:rFonts w:ascii="Garamond" w:hAnsi="Garamond"/>
                          <w:sz w:val="20"/>
                          <w:szCs w:val="20"/>
                        </w:rPr>
                      </w:pPr>
                      <w:r w:rsidRPr="001251B5">
                        <w:rPr>
                          <w:rFonts w:ascii="Garamond" w:hAnsi="Garamond"/>
                          <w:i/>
                          <w:sz w:val="20"/>
                          <w:szCs w:val="20"/>
                        </w:rPr>
                        <w:t>Active Experimentation</w:t>
                      </w:r>
                      <w:r w:rsidRPr="001251B5">
                        <w:rPr>
                          <w:rFonts w:ascii="Garamond" w:hAnsi="Garamond"/>
                          <w:sz w:val="20"/>
                          <w:szCs w:val="20"/>
                        </w:rPr>
                        <w:t xml:space="preserve">. Planning or trying out what you have learned. </w:t>
                      </w:r>
                    </w:p>
                  </w:txbxContent>
                </v:textbox>
                <w10:wrap type="square"/>
              </v:shape>
            </w:pict>
          </mc:Fallback>
        </mc:AlternateContent>
      </w:r>
      <w:r w:rsidRPr="004C4ACD">
        <w:rPr>
          <w:rFonts w:ascii="Garamond" w:eastAsia="Times New Roman" w:hAnsi="Garamond" w:cs="Times New Roman"/>
          <w:b w:val="0"/>
          <w:noProof/>
          <w:sz w:val="24"/>
          <w:szCs w:val="24"/>
        </w:rPr>
        <w:drawing>
          <wp:inline distT="0" distB="0" distL="0" distR="0" wp14:anchorId="46952431" wp14:editId="60312B2A">
            <wp:extent cx="2628900" cy="13716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1967749" w14:textId="77777777" w:rsidR="00A277DC" w:rsidRDefault="00A277DC" w:rsidP="00593FA0">
      <w:pPr>
        <w:rPr>
          <w:rFonts w:ascii="Garamond" w:hAnsi="Garamond"/>
          <w:bCs/>
          <w:sz w:val="22"/>
          <w:szCs w:val="22"/>
          <w:u w:val="single"/>
        </w:rPr>
      </w:pPr>
    </w:p>
    <w:p w14:paraId="1FC0681B" w14:textId="3FA66B73" w:rsidR="00761D63" w:rsidRPr="001251B5" w:rsidRDefault="00761D63" w:rsidP="00593FA0">
      <w:pPr>
        <w:rPr>
          <w:rFonts w:ascii="Garamond" w:hAnsi="Garamond"/>
          <w:bCs/>
          <w:sz w:val="24"/>
          <w:szCs w:val="24"/>
          <w:u w:val="single"/>
        </w:rPr>
      </w:pPr>
      <w:r w:rsidRPr="001251B5">
        <w:rPr>
          <w:rFonts w:ascii="Garamond" w:hAnsi="Garamond"/>
          <w:bCs/>
          <w:sz w:val="24"/>
          <w:szCs w:val="24"/>
          <w:u w:val="single"/>
        </w:rPr>
        <w:t>Bloom’s Taxonomy of Learning</w:t>
      </w:r>
      <w:r w:rsidR="00D572E9" w:rsidRPr="001251B5">
        <w:rPr>
          <w:rFonts w:ascii="Garamond" w:hAnsi="Garamond"/>
          <w:bCs/>
          <w:sz w:val="24"/>
          <w:szCs w:val="24"/>
          <w:u w:val="single"/>
        </w:rPr>
        <w:t xml:space="preserve">, and </w:t>
      </w:r>
      <w:r w:rsidR="0024489A" w:rsidRPr="001251B5">
        <w:rPr>
          <w:rFonts w:ascii="Garamond" w:hAnsi="Garamond"/>
          <w:bCs/>
          <w:sz w:val="24"/>
          <w:szCs w:val="24"/>
          <w:u w:val="single"/>
        </w:rPr>
        <w:t xml:space="preserve">Its </w:t>
      </w:r>
      <w:r w:rsidR="00D572E9" w:rsidRPr="001251B5">
        <w:rPr>
          <w:rFonts w:ascii="Garamond" w:hAnsi="Garamond"/>
          <w:bCs/>
          <w:sz w:val="24"/>
          <w:szCs w:val="24"/>
          <w:u w:val="single"/>
        </w:rPr>
        <w:t>Revisions</w:t>
      </w:r>
    </w:p>
    <w:p w14:paraId="69C004ED" w14:textId="77777777" w:rsidR="001251B5" w:rsidRDefault="001251B5" w:rsidP="00593FA0">
      <w:pPr>
        <w:rPr>
          <w:rFonts w:ascii="Garamond" w:hAnsi="Garamond"/>
          <w:bCs/>
          <w:sz w:val="22"/>
          <w:szCs w:val="22"/>
        </w:rPr>
      </w:pPr>
    </w:p>
    <w:p w14:paraId="0D784F81" w14:textId="1CD0E357" w:rsidR="006A2674" w:rsidRPr="001251B5" w:rsidRDefault="001C50EB" w:rsidP="00593FA0">
      <w:pPr>
        <w:rPr>
          <w:rFonts w:ascii="Garamond" w:hAnsi="Garamond"/>
          <w:bCs/>
          <w:sz w:val="22"/>
          <w:szCs w:val="22"/>
        </w:rPr>
      </w:pPr>
      <w:r w:rsidRPr="001251B5">
        <w:rPr>
          <w:rFonts w:ascii="Garamond" w:hAnsi="Garamond"/>
          <w:bCs/>
          <w:sz w:val="22"/>
          <w:szCs w:val="22"/>
        </w:rPr>
        <w:t>Bloom is the old</w:t>
      </w:r>
      <w:r w:rsidR="00370563" w:rsidRPr="001251B5">
        <w:rPr>
          <w:rFonts w:ascii="Garamond" w:hAnsi="Garamond"/>
          <w:bCs/>
          <w:sz w:val="22"/>
          <w:szCs w:val="22"/>
        </w:rPr>
        <w:t xml:space="preserve"> standby, but still helpful.</w:t>
      </w:r>
      <w:r w:rsidR="000950CE" w:rsidRPr="001251B5">
        <w:rPr>
          <w:rStyle w:val="FootnoteReference"/>
          <w:rFonts w:ascii="Garamond" w:hAnsi="Garamond"/>
          <w:bCs/>
          <w:sz w:val="22"/>
          <w:szCs w:val="22"/>
        </w:rPr>
        <w:footnoteReference w:id="3"/>
      </w:r>
      <w:r w:rsidR="00370563" w:rsidRPr="001251B5">
        <w:rPr>
          <w:rFonts w:ascii="Garamond" w:hAnsi="Garamond"/>
          <w:bCs/>
          <w:sz w:val="22"/>
          <w:szCs w:val="22"/>
        </w:rPr>
        <w:t xml:space="preserve"> He proposed </w:t>
      </w:r>
      <w:r w:rsidRPr="001251B5">
        <w:rPr>
          <w:rFonts w:ascii="Garamond" w:hAnsi="Garamond"/>
          <w:bCs/>
          <w:sz w:val="22"/>
          <w:szCs w:val="22"/>
        </w:rPr>
        <w:t>that teachers can “touch” learners</w:t>
      </w:r>
      <w:r w:rsidR="005F6085" w:rsidRPr="001251B5">
        <w:rPr>
          <w:rFonts w:ascii="Garamond" w:hAnsi="Garamond"/>
          <w:bCs/>
          <w:sz w:val="22"/>
          <w:szCs w:val="22"/>
        </w:rPr>
        <w:t xml:space="preserve"> only</w:t>
      </w:r>
      <w:r w:rsidRPr="001251B5">
        <w:rPr>
          <w:rFonts w:ascii="Garamond" w:hAnsi="Garamond"/>
          <w:bCs/>
          <w:sz w:val="22"/>
          <w:szCs w:val="22"/>
        </w:rPr>
        <w:t xml:space="preserve"> in three domains—</w:t>
      </w:r>
      <w:r w:rsidR="005F6085" w:rsidRPr="001251B5">
        <w:rPr>
          <w:rFonts w:ascii="Garamond" w:hAnsi="Garamond"/>
          <w:bCs/>
          <w:sz w:val="22"/>
          <w:szCs w:val="22"/>
        </w:rPr>
        <w:t>with overlap among the domains inevitable</w:t>
      </w:r>
      <w:r w:rsidRPr="001251B5">
        <w:rPr>
          <w:rFonts w:ascii="Garamond" w:hAnsi="Garamond"/>
          <w:bCs/>
          <w:sz w:val="22"/>
          <w:szCs w:val="22"/>
        </w:rPr>
        <w:t>: Cognitive (information recall, increasingly complex understanding), Affective (</w:t>
      </w:r>
      <w:r w:rsidR="005F6085" w:rsidRPr="001251B5">
        <w:rPr>
          <w:rFonts w:ascii="Garamond" w:hAnsi="Garamond"/>
          <w:bCs/>
          <w:sz w:val="22"/>
          <w:szCs w:val="22"/>
        </w:rPr>
        <w:t xml:space="preserve">attitudes, </w:t>
      </w:r>
      <w:r w:rsidRPr="001251B5">
        <w:rPr>
          <w:rFonts w:ascii="Garamond" w:hAnsi="Garamond"/>
          <w:bCs/>
          <w:sz w:val="22"/>
          <w:szCs w:val="22"/>
        </w:rPr>
        <w:t>feeling</w:t>
      </w:r>
      <w:r w:rsidR="005F6085" w:rsidRPr="001251B5">
        <w:rPr>
          <w:rFonts w:ascii="Garamond" w:hAnsi="Garamond"/>
          <w:bCs/>
          <w:sz w:val="22"/>
          <w:szCs w:val="22"/>
        </w:rPr>
        <w:t>s</w:t>
      </w:r>
      <w:r w:rsidRPr="001251B5">
        <w:rPr>
          <w:rFonts w:ascii="Garamond" w:hAnsi="Garamond"/>
          <w:bCs/>
          <w:sz w:val="22"/>
          <w:szCs w:val="22"/>
        </w:rPr>
        <w:t xml:space="preserve">, believing, valuing), and </w:t>
      </w:r>
      <w:r w:rsidR="005F6085" w:rsidRPr="001251B5">
        <w:rPr>
          <w:rFonts w:ascii="Garamond" w:hAnsi="Garamond"/>
          <w:bCs/>
          <w:sz w:val="22"/>
          <w:szCs w:val="22"/>
        </w:rPr>
        <w:t>Psych</w:t>
      </w:r>
      <w:r w:rsidR="00556D77" w:rsidRPr="001251B5">
        <w:rPr>
          <w:rFonts w:ascii="Garamond" w:hAnsi="Garamond"/>
          <w:bCs/>
          <w:sz w:val="22"/>
          <w:szCs w:val="22"/>
        </w:rPr>
        <w:t>o</w:t>
      </w:r>
      <w:r w:rsidR="005F6085" w:rsidRPr="001251B5">
        <w:rPr>
          <w:rFonts w:ascii="Garamond" w:hAnsi="Garamond"/>
          <w:bCs/>
          <w:sz w:val="22"/>
          <w:szCs w:val="22"/>
        </w:rPr>
        <w:t xml:space="preserve">motor (skill, purposeful action, </w:t>
      </w:r>
      <w:r w:rsidR="000118AE" w:rsidRPr="001251B5">
        <w:rPr>
          <w:rFonts w:ascii="Garamond" w:hAnsi="Garamond"/>
          <w:bCs/>
          <w:sz w:val="22"/>
          <w:szCs w:val="22"/>
        </w:rPr>
        <w:t>application, practice).</w:t>
      </w:r>
      <w:r w:rsidRPr="001251B5">
        <w:rPr>
          <w:rFonts w:ascii="Garamond" w:hAnsi="Garamond"/>
          <w:bCs/>
          <w:sz w:val="22"/>
          <w:szCs w:val="22"/>
        </w:rPr>
        <w:t xml:space="preserve"> </w:t>
      </w:r>
      <w:r w:rsidR="00370563" w:rsidRPr="001251B5">
        <w:rPr>
          <w:rFonts w:ascii="Garamond" w:hAnsi="Garamond"/>
          <w:bCs/>
          <w:sz w:val="22"/>
          <w:szCs w:val="22"/>
        </w:rPr>
        <w:t xml:space="preserve">His intent was to develop </w:t>
      </w:r>
      <w:proofErr w:type="gramStart"/>
      <w:r w:rsidR="00370563" w:rsidRPr="001251B5">
        <w:rPr>
          <w:rFonts w:ascii="Garamond" w:hAnsi="Garamond"/>
          <w:bCs/>
          <w:sz w:val="22"/>
          <w:szCs w:val="22"/>
        </w:rPr>
        <w:t>a “taxonomy”</w:t>
      </w:r>
      <w:proofErr w:type="gramEnd"/>
      <w:r w:rsidR="000321EB" w:rsidRPr="001251B5">
        <w:rPr>
          <w:rFonts w:ascii="Garamond" w:hAnsi="Garamond"/>
          <w:bCs/>
          <w:sz w:val="22"/>
          <w:szCs w:val="22"/>
        </w:rPr>
        <w:t xml:space="preserve"> </w:t>
      </w:r>
      <w:r w:rsidR="005E4570" w:rsidRPr="001251B5">
        <w:rPr>
          <w:rFonts w:ascii="Garamond" w:hAnsi="Garamond"/>
          <w:bCs/>
          <w:sz w:val="22"/>
          <w:szCs w:val="22"/>
        </w:rPr>
        <w:t>(e.g., classifying the parts that make up thinking</w:t>
      </w:r>
      <w:r w:rsidR="00530755" w:rsidRPr="001251B5">
        <w:rPr>
          <w:rFonts w:ascii="Garamond" w:hAnsi="Garamond"/>
          <w:bCs/>
          <w:sz w:val="22"/>
          <w:szCs w:val="22"/>
        </w:rPr>
        <w:t>, valuing, acting</w:t>
      </w:r>
      <w:r w:rsidR="005E4570" w:rsidRPr="001251B5">
        <w:rPr>
          <w:rFonts w:ascii="Garamond" w:hAnsi="Garamond"/>
          <w:bCs/>
          <w:sz w:val="22"/>
          <w:szCs w:val="22"/>
        </w:rPr>
        <w:t>)</w:t>
      </w:r>
      <w:r w:rsidR="00BE58D9" w:rsidRPr="001251B5">
        <w:rPr>
          <w:rFonts w:ascii="Garamond" w:hAnsi="Garamond"/>
          <w:bCs/>
          <w:sz w:val="22"/>
          <w:szCs w:val="22"/>
        </w:rPr>
        <w:t xml:space="preserve"> to assist the development of learning intentions</w:t>
      </w:r>
      <w:r w:rsidR="00370563" w:rsidRPr="001251B5">
        <w:rPr>
          <w:rFonts w:ascii="Garamond" w:hAnsi="Garamond"/>
          <w:bCs/>
          <w:sz w:val="22"/>
          <w:szCs w:val="22"/>
        </w:rPr>
        <w:t xml:space="preserve"> f</w:t>
      </w:r>
      <w:r w:rsidR="0029169A" w:rsidRPr="001251B5">
        <w:rPr>
          <w:rFonts w:ascii="Garamond" w:hAnsi="Garamond"/>
          <w:bCs/>
          <w:sz w:val="22"/>
          <w:szCs w:val="22"/>
        </w:rPr>
        <w:t>or each domain</w:t>
      </w:r>
      <w:r w:rsidR="00530755" w:rsidRPr="001251B5">
        <w:rPr>
          <w:rFonts w:ascii="Garamond" w:hAnsi="Garamond"/>
          <w:bCs/>
          <w:sz w:val="22"/>
          <w:szCs w:val="22"/>
        </w:rPr>
        <w:t xml:space="preserve">. He managed two taxonomies in collaboration with others, but </w:t>
      </w:r>
      <w:proofErr w:type="gramStart"/>
      <w:r w:rsidR="0029169A" w:rsidRPr="001251B5">
        <w:rPr>
          <w:rFonts w:ascii="Garamond" w:hAnsi="Garamond"/>
          <w:bCs/>
          <w:sz w:val="22"/>
          <w:szCs w:val="22"/>
        </w:rPr>
        <w:t>a taxonomy</w:t>
      </w:r>
      <w:proofErr w:type="gramEnd"/>
      <w:r w:rsidR="0029169A" w:rsidRPr="001251B5">
        <w:rPr>
          <w:rFonts w:ascii="Garamond" w:hAnsi="Garamond"/>
          <w:bCs/>
          <w:sz w:val="22"/>
          <w:szCs w:val="22"/>
        </w:rPr>
        <w:t xml:space="preserve"> for the Psychomotor Domain</w:t>
      </w:r>
      <w:r w:rsidR="00530755" w:rsidRPr="001251B5">
        <w:rPr>
          <w:rFonts w:ascii="Garamond" w:hAnsi="Garamond"/>
          <w:bCs/>
          <w:sz w:val="22"/>
          <w:szCs w:val="22"/>
        </w:rPr>
        <w:t xml:space="preserve"> was left to others.</w:t>
      </w:r>
      <w:r w:rsidR="00370563" w:rsidRPr="001251B5">
        <w:rPr>
          <w:rFonts w:ascii="Garamond" w:hAnsi="Garamond"/>
          <w:bCs/>
          <w:sz w:val="22"/>
          <w:szCs w:val="22"/>
        </w:rPr>
        <w:t xml:space="preserve"> H</w:t>
      </w:r>
      <w:r w:rsidRPr="001251B5">
        <w:rPr>
          <w:rFonts w:ascii="Garamond" w:hAnsi="Garamond"/>
          <w:bCs/>
          <w:sz w:val="22"/>
          <w:szCs w:val="22"/>
        </w:rPr>
        <w:t>is work has been recast into countless formats and teaching tools.</w:t>
      </w:r>
      <w:r w:rsidR="000950CE" w:rsidRPr="001251B5">
        <w:rPr>
          <w:rStyle w:val="FootnoteReference"/>
          <w:rFonts w:ascii="Garamond" w:hAnsi="Garamond"/>
          <w:bCs/>
          <w:sz w:val="22"/>
          <w:szCs w:val="22"/>
        </w:rPr>
        <w:footnoteReference w:id="4"/>
      </w:r>
      <w:r w:rsidRPr="001251B5">
        <w:rPr>
          <w:rFonts w:ascii="Garamond" w:hAnsi="Garamond"/>
          <w:bCs/>
          <w:sz w:val="22"/>
          <w:szCs w:val="22"/>
        </w:rPr>
        <w:t xml:space="preserve"> </w:t>
      </w:r>
      <w:r w:rsidR="005F6085" w:rsidRPr="001251B5">
        <w:rPr>
          <w:rFonts w:ascii="Garamond" w:hAnsi="Garamond"/>
          <w:bCs/>
          <w:sz w:val="22"/>
          <w:szCs w:val="22"/>
        </w:rPr>
        <w:t>In education, the Cognitive Domain</w:t>
      </w:r>
      <w:r w:rsidR="00370563" w:rsidRPr="001251B5">
        <w:rPr>
          <w:rFonts w:ascii="Garamond" w:hAnsi="Garamond"/>
          <w:bCs/>
          <w:sz w:val="22"/>
          <w:szCs w:val="22"/>
        </w:rPr>
        <w:t xml:space="preserve"> with its </w:t>
      </w:r>
      <w:r w:rsidR="00530755" w:rsidRPr="001251B5">
        <w:rPr>
          <w:rFonts w:ascii="Garamond" w:hAnsi="Garamond"/>
          <w:bCs/>
          <w:sz w:val="22"/>
          <w:szCs w:val="22"/>
        </w:rPr>
        <w:t xml:space="preserve">taxonomy (six levels of </w:t>
      </w:r>
      <w:r w:rsidR="005E4570" w:rsidRPr="001251B5">
        <w:rPr>
          <w:rFonts w:ascii="Garamond" w:hAnsi="Garamond"/>
          <w:bCs/>
          <w:sz w:val="22"/>
          <w:szCs w:val="22"/>
        </w:rPr>
        <w:t>mental activity</w:t>
      </w:r>
      <w:r w:rsidR="00370563" w:rsidRPr="001251B5">
        <w:rPr>
          <w:rFonts w:ascii="Garamond" w:hAnsi="Garamond"/>
          <w:bCs/>
          <w:sz w:val="22"/>
          <w:szCs w:val="22"/>
        </w:rPr>
        <w:t>)</w:t>
      </w:r>
      <w:r w:rsidR="005F6085" w:rsidRPr="001251B5">
        <w:rPr>
          <w:rFonts w:ascii="Garamond" w:hAnsi="Garamond"/>
          <w:bCs/>
          <w:sz w:val="22"/>
          <w:szCs w:val="22"/>
        </w:rPr>
        <w:t xml:space="preserve"> has been the most commonly applied—which </w:t>
      </w:r>
      <w:r w:rsidR="005E4570" w:rsidRPr="001251B5">
        <w:rPr>
          <w:rFonts w:ascii="Garamond" w:hAnsi="Garamond"/>
          <w:bCs/>
          <w:sz w:val="22"/>
          <w:szCs w:val="22"/>
        </w:rPr>
        <w:t>tends toward</w:t>
      </w:r>
      <w:r w:rsidR="00020553" w:rsidRPr="001251B5">
        <w:rPr>
          <w:rFonts w:ascii="Garamond" w:hAnsi="Garamond"/>
          <w:bCs/>
          <w:sz w:val="22"/>
          <w:szCs w:val="22"/>
        </w:rPr>
        <w:t xml:space="preserve"> an unfortunate dichotomization</w:t>
      </w:r>
      <w:r w:rsidR="005F6085" w:rsidRPr="001251B5">
        <w:rPr>
          <w:rFonts w:ascii="Garamond" w:hAnsi="Garamond"/>
          <w:bCs/>
          <w:sz w:val="22"/>
          <w:szCs w:val="22"/>
        </w:rPr>
        <w:t xml:space="preserve"> of lea</w:t>
      </w:r>
      <w:r w:rsidR="005E4570" w:rsidRPr="001251B5">
        <w:rPr>
          <w:rFonts w:ascii="Garamond" w:hAnsi="Garamond"/>
          <w:bCs/>
          <w:sz w:val="22"/>
          <w:szCs w:val="22"/>
        </w:rPr>
        <w:t>rning into cognitive (intellect)</w:t>
      </w:r>
      <w:r w:rsidR="005F6085" w:rsidRPr="001251B5">
        <w:rPr>
          <w:rFonts w:ascii="Garamond" w:hAnsi="Garamond"/>
          <w:bCs/>
          <w:sz w:val="22"/>
          <w:szCs w:val="22"/>
        </w:rPr>
        <w:t>, and eve</w:t>
      </w:r>
      <w:r w:rsidR="00020553" w:rsidRPr="001251B5">
        <w:rPr>
          <w:rFonts w:ascii="Garamond" w:hAnsi="Garamond"/>
          <w:bCs/>
          <w:sz w:val="22"/>
          <w:szCs w:val="22"/>
        </w:rPr>
        <w:t>rything else</w:t>
      </w:r>
      <w:r w:rsidR="005F6085" w:rsidRPr="001251B5">
        <w:rPr>
          <w:rFonts w:ascii="Garamond" w:hAnsi="Garamond"/>
          <w:bCs/>
          <w:sz w:val="22"/>
          <w:szCs w:val="22"/>
        </w:rPr>
        <w:t>.</w:t>
      </w:r>
      <w:r w:rsidR="0063226F" w:rsidRPr="001251B5">
        <w:rPr>
          <w:rFonts w:ascii="Garamond" w:hAnsi="Garamond"/>
          <w:bCs/>
          <w:sz w:val="22"/>
          <w:szCs w:val="22"/>
        </w:rPr>
        <w:t xml:space="preserve"> </w:t>
      </w:r>
      <w:r w:rsidR="005E4570" w:rsidRPr="001251B5">
        <w:rPr>
          <w:rFonts w:ascii="Garamond" w:hAnsi="Garamond"/>
          <w:bCs/>
          <w:sz w:val="22"/>
          <w:szCs w:val="22"/>
        </w:rPr>
        <w:t>A description of the three Taxonomies is available</w:t>
      </w:r>
      <w:r w:rsidR="0063226F" w:rsidRPr="001251B5">
        <w:rPr>
          <w:rFonts w:ascii="Garamond" w:hAnsi="Garamond"/>
          <w:bCs/>
          <w:sz w:val="22"/>
          <w:szCs w:val="22"/>
        </w:rPr>
        <w:t xml:space="preserve"> at the Colloquium website</w:t>
      </w:r>
      <w:r w:rsidR="006A2674" w:rsidRPr="001251B5">
        <w:rPr>
          <w:rFonts w:ascii="Garamond" w:hAnsi="Garamond"/>
          <w:bCs/>
          <w:sz w:val="22"/>
          <w:szCs w:val="22"/>
        </w:rPr>
        <w:t>. You can access a</w:t>
      </w:r>
      <w:r w:rsidR="00560CD2" w:rsidRPr="001251B5">
        <w:rPr>
          <w:rFonts w:ascii="Garamond" w:hAnsi="Garamond"/>
          <w:bCs/>
          <w:sz w:val="22"/>
          <w:szCs w:val="22"/>
        </w:rPr>
        <w:t xml:space="preserve">n image of </w:t>
      </w:r>
      <w:r w:rsidR="006A2674" w:rsidRPr="001251B5">
        <w:rPr>
          <w:rFonts w:ascii="Garamond" w:hAnsi="Garamond"/>
          <w:bCs/>
          <w:sz w:val="22"/>
          <w:szCs w:val="22"/>
        </w:rPr>
        <w:t>A</w:t>
      </w:r>
      <w:r w:rsidR="0063226F" w:rsidRPr="001251B5">
        <w:rPr>
          <w:rFonts w:ascii="Garamond" w:hAnsi="Garamond"/>
          <w:bCs/>
          <w:sz w:val="22"/>
          <w:szCs w:val="22"/>
        </w:rPr>
        <w:t xml:space="preserve">nderson and </w:t>
      </w:r>
      <w:proofErr w:type="spellStart"/>
      <w:r w:rsidR="0063226F" w:rsidRPr="001251B5">
        <w:rPr>
          <w:rFonts w:ascii="Garamond" w:hAnsi="Garamond"/>
          <w:bCs/>
          <w:sz w:val="22"/>
          <w:szCs w:val="22"/>
        </w:rPr>
        <w:t>Krathwohl’s</w:t>
      </w:r>
      <w:proofErr w:type="spellEnd"/>
      <w:r w:rsidR="00DC311A" w:rsidRPr="001251B5">
        <w:rPr>
          <w:rStyle w:val="FootnoteReference"/>
          <w:rFonts w:ascii="Garamond" w:hAnsi="Garamond"/>
          <w:bCs/>
          <w:sz w:val="22"/>
          <w:szCs w:val="22"/>
        </w:rPr>
        <w:footnoteReference w:id="5"/>
      </w:r>
      <w:r w:rsidR="0063226F" w:rsidRPr="001251B5">
        <w:rPr>
          <w:rFonts w:ascii="Garamond" w:hAnsi="Garamond"/>
          <w:bCs/>
          <w:sz w:val="22"/>
          <w:szCs w:val="22"/>
        </w:rPr>
        <w:t xml:space="preserve"> revision</w:t>
      </w:r>
      <w:r w:rsidR="005E4570" w:rsidRPr="001251B5">
        <w:rPr>
          <w:rFonts w:ascii="Garamond" w:hAnsi="Garamond"/>
          <w:bCs/>
          <w:sz w:val="22"/>
          <w:szCs w:val="22"/>
        </w:rPr>
        <w:t xml:space="preserve"> of the Cognitive Domain</w:t>
      </w:r>
      <w:r w:rsidR="006A2674" w:rsidRPr="001251B5">
        <w:rPr>
          <w:rFonts w:ascii="Garamond" w:hAnsi="Garamond"/>
          <w:bCs/>
          <w:sz w:val="22"/>
          <w:szCs w:val="22"/>
        </w:rPr>
        <w:t xml:space="preserve"> </w:t>
      </w:r>
      <w:r w:rsidR="00560CD2" w:rsidRPr="001251B5">
        <w:rPr>
          <w:rFonts w:ascii="Garamond" w:hAnsi="Garamond"/>
          <w:bCs/>
          <w:sz w:val="22"/>
          <w:szCs w:val="22"/>
        </w:rPr>
        <w:t>at the Colloquium website.</w:t>
      </w:r>
    </w:p>
    <w:p w14:paraId="3E8DE14F" w14:textId="77777777" w:rsidR="00DD2147" w:rsidRPr="001251B5" w:rsidRDefault="0063226F" w:rsidP="00DD2147">
      <w:pPr>
        <w:ind w:firstLine="720"/>
        <w:rPr>
          <w:rFonts w:ascii="Garamond" w:hAnsi="Garamond"/>
          <w:bCs/>
          <w:sz w:val="22"/>
          <w:szCs w:val="22"/>
        </w:rPr>
      </w:pPr>
      <w:r w:rsidRPr="001251B5">
        <w:rPr>
          <w:rFonts w:ascii="Garamond" w:hAnsi="Garamond"/>
          <w:b/>
          <w:bCs/>
          <w:sz w:val="22"/>
          <w:szCs w:val="22"/>
        </w:rPr>
        <w:t>Bottom line</w:t>
      </w:r>
      <w:r w:rsidRPr="001251B5">
        <w:rPr>
          <w:rFonts w:ascii="Garamond" w:hAnsi="Garamond"/>
          <w:bCs/>
          <w:sz w:val="22"/>
          <w:szCs w:val="22"/>
        </w:rPr>
        <w:t xml:space="preserve">: </w:t>
      </w:r>
      <w:proofErr w:type="gramStart"/>
      <w:r w:rsidRPr="001251B5">
        <w:rPr>
          <w:rFonts w:ascii="Garamond" w:hAnsi="Garamond"/>
          <w:bCs/>
          <w:sz w:val="22"/>
          <w:szCs w:val="22"/>
        </w:rPr>
        <w:t>A taxonomy</w:t>
      </w:r>
      <w:proofErr w:type="gramEnd"/>
      <w:r w:rsidR="00C7163A" w:rsidRPr="001251B5">
        <w:rPr>
          <w:rFonts w:ascii="Garamond" w:hAnsi="Garamond"/>
          <w:bCs/>
          <w:sz w:val="22"/>
          <w:szCs w:val="22"/>
        </w:rPr>
        <w:t xml:space="preserve"> shows</w:t>
      </w:r>
      <w:r w:rsidRPr="001251B5">
        <w:rPr>
          <w:rFonts w:ascii="Garamond" w:hAnsi="Garamond"/>
          <w:bCs/>
          <w:sz w:val="22"/>
          <w:szCs w:val="22"/>
        </w:rPr>
        <w:t xml:space="preserve"> the complexity of the particular domain. A teacher familiar with the</w:t>
      </w:r>
      <w:r w:rsidR="005E4570" w:rsidRPr="001251B5">
        <w:rPr>
          <w:rFonts w:ascii="Garamond" w:hAnsi="Garamond"/>
          <w:bCs/>
          <w:sz w:val="22"/>
          <w:szCs w:val="22"/>
        </w:rPr>
        <w:t xml:space="preserve"> </w:t>
      </w:r>
      <w:r w:rsidRPr="001251B5">
        <w:rPr>
          <w:rFonts w:ascii="Garamond" w:hAnsi="Garamond"/>
          <w:bCs/>
          <w:sz w:val="22"/>
          <w:szCs w:val="22"/>
        </w:rPr>
        <w:t>levels can design questions and activit</w:t>
      </w:r>
      <w:r w:rsidR="005E4570" w:rsidRPr="001251B5">
        <w:rPr>
          <w:rFonts w:ascii="Garamond" w:hAnsi="Garamond"/>
          <w:bCs/>
          <w:sz w:val="22"/>
          <w:szCs w:val="22"/>
        </w:rPr>
        <w:t>ie</w:t>
      </w:r>
      <w:r w:rsidR="00C7163A" w:rsidRPr="001251B5">
        <w:rPr>
          <w:rFonts w:ascii="Garamond" w:hAnsi="Garamond"/>
          <w:bCs/>
          <w:sz w:val="22"/>
          <w:szCs w:val="22"/>
        </w:rPr>
        <w:t>s that will actually shape a learner’s</w:t>
      </w:r>
      <w:r w:rsidRPr="001251B5">
        <w:rPr>
          <w:rFonts w:ascii="Garamond" w:hAnsi="Garamond"/>
          <w:bCs/>
          <w:sz w:val="22"/>
          <w:szCs w:val="22"/>
        </w:rPr>
        <w:t xml:space="preserve"> level of thinki</w:t>
      </w:r>
      <w:r w:rsidR="0093498A" w:rsidRPr="001251B5">
        <w:rPr>
          <w:rFonts w:ascii="Garamond" w:hAnsi="Garamond"/>
          <w:bCs/>
          <w:sz w:val="22"/>
          <w:szCs w:val="22"/>
        </w:rPr>
        <w:t xml:space="preserve">ng or responding.  The three Domains tend to “bleed” into one </w:t>
      </w:r>
      <w:proofErr w:type="gramStart"/>
      <w:r w:rsidR="0093498A" w:rsidRPr="001251B5">
        <w:rPr>
          <w:rFonts w:ascii="Garamond" w:hAnsi="Garamond"/>
          <w:bCs/>
          <w:sz w:val="22"/>
          <w:szCs w:val="22"/>
        </w:rPr>
        <w:t>another which</w:t>
      </w:r>
      <w:proofErr w:type="gramEnd"/>
      <w:r w:rsidR="0093498A" w:rsidRPr="001251B5">
        <w:rPr>
          <w:rFonts w:ascii="Garamond" w:hAnsi="Garamond"/>
          <w:bCs/>
          <w:sz w:val="22"/>
          <w:szCs w:val="22"/>
        </w:rPr>
        <w:t xml:space="preserve"> argues for attention to all three domains in the design of instruction.</w:t>
      </w:r>
      <w:r w:rsidR="00DD2147" w:rsidRPr="001251B5">
        <w:rPr>
          <w:rFonts w:ascii="Garamond" w:hAnsi="Garamond"/>
          <w:bCs/>
          <w:sz w:val="22"/>
          <w:szCs w:val="22"/>
        </w:rPr>
        <w:t xml:space="preserve"> </w:t>
      </w:r>
    </w:p>
    <w:p w14:paraId="0689D9CF" w14:textId="77777777" w:rsidR="001251B5" w:rsidRDefault="001251B5" w:rsidP="00DD2147">
      <w:pPr>
        <w:rPr>
          <w:rFonts w:ascii="Garamond" w:hAnsi="Garamond"/>
          <w:bCs/>
          <w:sz w:val="22"/>
          <w:szCs w:val="22"/>
        </w:rPr>
      </w:pPr>
    </w:p>
    <w:p w14:paraId="6EE48735" w14:textId="71758847" w:rsidR="00593FA0" w:rsidRPr="001251B5" w:rsidRDefault="001251B5" w:rsidP="00DD2147">
      <w:pPr>
        <w:rPr>
          <w:rFonts w:ascii="Garamond" w:eastAsia="Times New Roman" w:hAnsi="Garamond" w:cs="Times New Roman"/>
          <w:b/>
          <w:sz w:val="22"/>
          <w:szCs w:val="22"/>
        </w:rPr>
      </w:pPr>
      <w:r>
        <w:rPr>
          <w:rFonts w:ascii="Garamond" w:hAnsi="Garamond"/>
          <w:bCs/>
          <w:sz w:val="22"/>
          <w:szCs w:val="22"/>
        </w:rPr>
        <w:tab/>
      </w:r>
      <w:r w:rsidR="00DD2147" w:rsidRPr="001251B5">
        <w:rPr>
          <w:rFonts w:ascii="Garamond" w:hAnsi="Garamond"/>
          <w:bCs/>
          <w:sz w:val="22"/>
          <w:szCs w:val="22"/>
        </w:rPr>
        <w:t xml:space="preserve">3. Several </w:t>
      </w:r>
      <w:r w:rsidR="00593FA0" w:rsidRPr="001251B5">
        <w:rPr>
          <w:rFonts w:ascii="Garamond" w:eastAsia="Times New Roman" w:hAnsi="Garamond" w:cs="Times New Roman"/>
          <w:sz w:val="22"/>
          <w:szCs w:val="22"/>
        </w:rPr>
        <w:t>“models of teaching</w:t>
      </w:r>
      <w:r w:rsidR="00CC5E6B" w:rsidRPr="001251B5">
        <w:rPr>
          <w:rFonts w:ascii="Garamond" w:eastAsia="Times New Roman" w:hAnsi="Garamond" w:cs="Times New Roman"/>
          <w:sz w:val="22"/>
          <w:szCs w:val="22"/>
        </w:rPr>
        <w:t>/models of learning</w:t>
      </w:r>
      <w:r w:rsidR="00593FA0" w:rsidRPr="001251B5">
        <w:rPr>
          <w:rFonts w:ascii="Garamond" w:eastAsia="Times New Roman" w:hAnsi="Garamond" w:cs="Times New Roman"/>
          <w:sz w:val="22"/>
          <w:szCs w:val="22"/>
        </w:rPr>
        <w:t xml:space="preserve">” are available.  Perhaps the most common is </w:t>
      </w:r>
      <w:r w:rsidR="007E40EC" w:rsidRPr="001251B5">
        <w:rPr>
          <w:rFonts w:ascii="Garamond" w:eastAsia="Times New Roman" w:hAnsi="Garamond" w:cs="Times New Roman"/>
          <w:sz w:val="22"/>
          <w:szCs w:val="22"/>
        </w:rPr>
        <w:t xml:space="preserve">Joyce, Weil, and Calhoun’s, </w:t>
      </w:r>
      <w:r w:rsidR="00593FA0" w:rsidRPr="001251B5">
        <w:rPr>
          <w:rFonts w:ascii="Garamond" w:eastAsia="Times New Roman" w:hAnsi="Garamond" w:cs="Times New Roman"/>
          <w:i/>
          <w:sz w:val="22"/>
          <w:szCs w:val="22"/>
        </w:rPr>
        <w:t>Models of Teaching</w:t>
      </w:r>
      <w:r w:rsidR="007E40EC" w:rsidRPr="001251B5">
        <w:rPr>
          <w:rFonts w:ascii="Garamond" w:eastAsia="Times New Roman" w:hAnsi="Garamond" w:cs="Times New Roman"/>
          <w:i/>
          <w:sz w:val="22"/>
          <w:szCs w:val="22"/>
        </w:rPr>
        <w:t>.</w:t>
      </w:r>
      <w:r w:rsidR="007E40EC" w:rsidRPr="001251B5">
        <w:rPr>
          <w:rStyle w:val="FootnoteReference"/>
          <w:rFonts w:ascii="Garamond" w:eastAsia="Times New Roman" w:hAnsi="Garamond" w:cs="Times New Roman"/>
          <w:sz w:val="22"/>
          <w:szCs w:val="22"/>
        </w:rPr>
        <w:footnoteReference w:id="6"/>
      </w:r>
      <w:r w:rsidR="00CC5E6B" w:rsidRPr="001251B5">
        <w:rPr>
          <w:rFonts w:ascii="Garamond" w:eastAsia="Times New Roman" w:hAnsi="Garamond" w:cs="Times New Roman"/>
          <w:sz w:val="22"/>
          <w:szCs w:val="22"/>
        </w:rPr>
        <w:t xml:space="preserve"> </w:t>
      </w:r>
      <w:r w:rsidR="00A31673" w:rsidRPr="001251B5">
        <w:rPr>
          <w:rFonts w:ascii="Garamond" w:eastAsia="Times New Roman" w:hAnsi="Garamond" w:cs="Times New Roman"/>
          <w:sz w:val="22"/>
          <w:szCs w:val="22"/>
        </w:rPr>
        <w:t>I</w:t>
      </w:r>
      <w:r w:rsidR="00CC5E6B" w:rsidRPr="001251B5">
        <w:rPr>
          <w:rFonts w:ascii="Garamond" w:eastAsia="Times New Roman" w:hAnsi="Garamond" w:cs="Times New Roman"/>
          <w:sz w:val="22"/>
          <w:szCs w:val="22"/>
        </w:rPr>
        <w:t xml:space="preserve"> have adapted their </w:t>
      </w:r>
      <w:r w:rsidR="00A31673" w:rsidRPr="001251B5">
        <w:rPr>
          <w:rFonts w:ascii="Garamond" w:eastAsia="Times New Roman" w:hAnsi="Garamond" w:cs="Times New Roman"/>
          <w:sz w:val="22"/>
          <w:szCs w:val="22"/>
        </w:rPr>
        <w:t>categories as follows:</w:t>
      </w:r>
      <w:r w:rsidR="007E40EC" w:rsidRPr="001251B5">
        <w:rPr>
          <w:rFonts w:ascii="Garamond" w:eastAsia="Times New Roman" w:hAnsi="Garamond" w:cs="Times New Roman"/>
          <w:sz w:val="22"/>
          <w:szCs w:val="22"/>
        </w:rPr>
        <w:t xml:space="preserve"> </w:t>
      </w:r>
    </w:p>
    <w:p w14:paraId="1CDB7382" w14:textId="14AE434B" w:rsidR="00A31673" w:rsidRPr="001251B5" w:rsidRDefault="00370563" w:rsidP="00F822D5">
      <w:pPr>
        <w:ind w:left="720"/>
        <w:rPr>
          <w:rFonts w:ascii="Garamond" w:hAnsi="Garamond"/>
          <w:bCs/>
          <w:sz w:val="22"/>
          <w:szCs w:val="22"/>
        </w:rPr>
      </w:pPr>
      <w:r w:rsidRPr="001251B5">
        <w:rPr>
          <w:rFonts w:ascii="Garamond" w:hAnsi="Garamond" w:cs="Times New Roman"/>
          <w:b/>
          <w:sz w:val="22"/>
          <w:szCs w:val="22"/>
        </w:rPr>
        <w:t>Basic Information-Processing</w:t>
      </w:r>
      <w:r w:rsidR="00A31673" w:rsidRPr="001251B5">
        <w:rPr>
          <w:rFonts w:ascii="Garamond" w:hAnsi="Garamond" w:cs="Times New Roman"/>
          <w:b/>
          <w:sz w:val="22"/>
          <w:szCs w:val="22"/>
        </w:rPr>
        <w:t xml:space="preserve">. </w:t>
      </w:r>
      <w:proofErr w:type="gramStart"/>
      <w:r w:rsidR="004B40D4" w:rsidRPr="001251B5">
        <w:rPr>
          <w:rFonts w:ascii="Garamond" w:hAnsi="Garamond"/>
          <w:sz w:val="22"/>
          <w:szCs w:val="22"/>
        </w:rPr>
        <w:t>Teachers</w:t>
      </w:r>
      <w:proofErr w:type="gramEnd"/>
      <w:r w:rsidR="004B40D4" w:rsidRPr="001251B5">
        <w:rPr>
          <w:rFonts w:ascii="Garamond" w:hAnsi="Garamond"/>
          <w:sz w:val="22"/>
          <w:szCs w:val="22"/>
        </w:rPr>
        <w:t xml:space="preserve"> structure and present material in such a way as to promote understanding (e.g., use an advance organizer before a lecture).</w:t>
      </w:r>
      <w:r w:rsidR="00530755" w:rsidRPr="001251B5">
        <w:rPr>
          <w:rFonts w:ascii="Garamond" w:hAnsi="Garamond"/>
          <w:sz w:val="22"/>
          <w:szCs w:val="22"/>
        </w:rPr>
        <w:t xml:space="preserve"> </w:t>
      </w:r>
      <w:r w:rsidR="004B40D4" w:rsidRPr="001251B5">
        <w:rPr>
          <w:rFonts w:ascii="Garamond" w:hAnsi="Garamond" w:cs="Times New Roman"/>
          <w:sz w:val="22"/>
          <w:szCs w:val="22"/>
        </w:rPr>
        <w:t>Teachers help</w:t>
      </w:r>
      <w:r w:rsidR="00A31673" w:rsidRPr="001251B5">
        <w:rPr>
          <w:rFonts w:ascii="Garamond" w:hAnsi="Garamond"/>
          <w:bCs/>
          <w:sz w:val="22"/>
          <w:szCs w:val="22"/>
        </w:rPr>
        <w:t xml:space="preserve"> learners to . . .</w:t>
      </w:r>
    </w:p>
    <w:p w14:paraId="2F612C45" w14:textId="3DEC215E" w:rsidR="004B40D4" w:rsidRPr="001251B5" w:rsidRDefault="00A31673" w:rsidP="00F822D5">
      <w:pPr>
        <w:pStyle w:val="ListParagraph"/>
        <w:numPr>
          <w:ilvl w:val="0"/>
          <w:numId w:val="17"/>
        </w:numPr>
        <w:ind w:left="1440"/>
        <w:rPr>
          <w:rFonts w:ascii="Garamond" w:hAnsi="Garamond"/>
          <w:bCs/>
          <w:sz w:val="22"/>
          <w:szCs w:val="22"/>
        </w:rPr>
      </w:pPr>
      <w:r w:rsidRPr="001251B5">
        <w:rPr>
          <w:rFonts w:ascii="Garamond" w:hAnsi="Garamond"/>
          <w:bCs/>
          <w:sz w:val="22"/>
          <w:szCs w:val="22"/>
        </w:rPr>
        <w:t>Memorize and recall effectively.</w:t>
      </w:r>
      <w:r w:rsidR="004B40D4" w:rsidRPr="001251B5">
        <w:rPr>
          <w:rFonts w:ascii="Garamond" w:hAnsi="Garamond"/>
          <w:bCs/>
          <w:sz w:val="22"/>
          <w:szCs w:val="22"/>
        </w:rPr>
        <w:t xml:space="preserve"> Manipulate objects as an aid to memory.</w:t>
      </w:r>
    </w:p>
    <w:p w14:paraId="3D766E2A" w14:textId="06534A55" w:rsidR="00A31673" w:rsidRPr="001251B5" w:rsidRDefault="004B40D4" w:rsidP="00F822D5">
      <w:pPr>
        <w:pStyle w:val="ListParagraph"/>
        <w:numPr>
          <w:ilvl w:val="0"/>
          <w:numId w:val="17"/>
        </w:numPr>
        <w:ind w:left="1440"/>
        <w:rPr>
          <w:rFonts w:ascii="Garamond" w:hAnsi="Garamond"/>
          <w:bCs/>
          <w:sz w:val="22"/>
          <w:szCs w:val="22"/>
        </w:rPr>
      </w:pPr>
      <w:r w:rsidRPr="001251B5">
        <w:rPr>
          <w:rFonts w:ascii="Garamond" w:hAnsi="Garamond"/>
          <w:bCs/>
          <w:sz w:val="22"/>
          <w:szCs w:val="22"/>
        </w:rPr>
        <w:t>Attain basic concepts through developing basic skills of thinking.</w:t>
      </w:r>
    </w:p>
    <w:p w14:paraId="7D09FCE6" w14:textId="762F1CE7" w:rsidR="00370563" w:rsidRPr="001251B5" w:rsidRDefault="00A31673" w:rsidP="00F822D5">
      <w:pPr>
        <w:pStyle w:val="ListParagraph"/>
        <w:numPr>
          <w:ilvl w:val="0"/>
          <w:numId w:val="17"/>
        </w:numPr>
        <w:ind w:left="1440"/>
        <w:rPr>
          <w:rFonts w:ascii="Garamond" w:hAnsi="Garamond" w:cs="Times New Roman"/>
          <w:sz w:val="22"/>
          <w:szCs w:val="22"/>
        </w:rPr>
      </w:pPr>
      <w:r w:rsidRPr="001251B5">
        <w:rPr>
          <w:rFonts w:ascii="Garamond" w:hAnsi="Garamond" w:cs="Times New Roman"/>
          <w:sz w:val="22"/>
          <w:szCs w:val="22"/>
        </w:rPr>
        <w:t>Develop and work wi</w:t>
      </w:r>
      <w:r w:rsidR="004B40D4" w:rsidRPr="001251B5">
        <w:rPr>
          <w:rFonts w:ascii="Garamond" w:hAnsi="Garamond" w:cs="Times New Roman"/>
          <w:sz w:val="22"/>
          <w:szCs w:val="22"/>
        </w:rPr>
        <w:t>th concepts through non-print</w:t>
      </w:r>
      <w:r w:rsidRPr="001251B5">
        <w:rPr>
          <w:rFonts w:ascii="Garamond" w:hAnsi="Garamond" w:cs="Times New Roman"/>
          <w:sz w:val="22"/>
          <w:szCs w:val="22"/>
        </w:rPr>
        <w:t xml:space="preserve"> approaches</w:t>
      </w:r>
      <w:r w:rsidR="004B40D4" w:rsidRPr="001251B5">
        <w:rPr>
          <w:rFonts w:ascii="Garamond" w:hAnsi="Garamond" w:cs="Times New Roman"/>
          <w:sz w:val="22"/>
          <w:szCs w:val="22"/>
        </w:rPr>
        <w:t xml:space="preserve"> (pictures, stories)</w:t>
      </w:r>
      <w:r w:rsidRPr="001251B5">
        <w:rPr>
          <w:rFonts w:ascii="Garamond" w:hAnsi="Garamond" w:cs="Times New Roman"/>
          <w:sz w:val="22"/>
          <w:szCs w:val="22"/>
        </w:rPr>
        <w:t>.</w:t>
      </w:r>
    </w:p>
    <w:p w14:paraId="28CE4B83" w14:textId="07E3B398" w:rsidR="004B40D4" w:rsidRPr="001251B5" w:rsidRDefault="004B40D4" w:rsidP="00F822D5">
      <w:pPr>
        <w:pStyle w:val="ListParagraph"/>
        <w:numPr>
          <w:ilvl w:val="0"/>
          <w:numId w:val="18"/>
        </w:numPr>
        <w:ind w:left="1440"/>
        <w:rPr>
          <w:rFonts w:ascii="Garamond" w:hAnsi="Garamond"/>
          <w:sz w:val="22"/>
          <w:szCs w:val="22"/>
        </w:rPr>
      </w:pPr>
      <w:r w:rsidRPr="001251B5">
        <w:rPr>
          <w:rFonts w:ascii="Garamond" w:hAnsi="Garamond" w:cs="Times New Roman"/>
          <w:sz w:val="22"/>
          <w:szCs w:val="22"/>
        </w:rPr>
        <w:t xml:space="preserve">Think inductively. </w:t>
      </w:r>
      <w:r w:rsidR="00370563" w:rsidRPr="001251B5">
        <w:rPr>
          <w:rFonts w:ascii="Garamond" w:hAnsi="Garamond" w:cs="Times New Roman"/>
          <w:sz w:val="22"/>
          <w:szCs w:val="22"/>
        </w:rPr>
        <w:t> </w:t>
      </w:r>
    </w:p>
    <w:p w14:paraId="382FE340" w14:textId="1D84B8FF" w:rsidR="00CC5E6B" w:rsidRPr="001251B5" w:rsidRDefault="00CC5E6B" w:rsidP="00F822D5">
      <w:pPr>
        <w:pStyle w:val="ListParagraph"/>
        <w:numPr>
          <w:ilvl w:val="0"/>
          <w:numId w:val="18"/>
        </w:numPr>
        <w:ind w:left="1440"/>
        <w:rPr>
          <w:rFonts w:ascii="Garamond" w:hAnsi="Garamond"/>
          <w:sz w:val="22"/>
          <w:szCs w:val="22"/>
        </w:rPr>
      </w:pPr>
      <w:r w:rsidRPr="001251B5">
        <w:rPr>
          <w:rFonts w:ascii="Garamond" w:hAnsi="Garamond"/>
          <w:sz w:val="22"/>
          <w:szCs w:val="22"/>
        </w:rPr>
        <w:t>Engage in Inquiry</w:t>
      </w:r>
      <w:r w:rsidR="004B40D4" w:rsidRPr="001251B5">
        <w:rPr>
          <w:rFonts w:ascii="Garamond" w:hAnsi="Garamond"/>
          <w:i/>
          <w:sz w:val="22"/>
          <w:szCs w:val="22"/>
        </w:rPr>
        <w:t>—</w:t>
      </w:r>
      <w:r w:rsidR="004B40D4" w:rsidRPr="001251B5">
        <w:rPr>
          <w:rFonts w:ascii="Garamond" w:hAnsi="Garamond"/>
          <w:sz w:val="22"/>
          <w:szCs w:val="22"/>
        </w:rPr>
        <w:t xml:space="preserve">learn </w:t>
      </w:r>
      <w:r w:rsidRPr="001251B5">
        <w:rPr>
          <w:rFonts w:ascii="Garamond" w:hAnsi="Garamond"/>
          <w:sz w:val="22"/>
          <w:szCs w:val="22"/>
        </w:rPr>
        <w:t>how to collect and veri</w:t>
      </w:r>
      <w:r w:rsidR="004B40D4" w:rsidRPr="001251B5">
        <w:rPr>
          <w:rFonts w:ascii="Garamond" w:hAnsi="Garamond"/>
          <w:sz w:val="22"/>
          <w:szCs w:val="22"/>
        </w:rPr>
        <w:t>fy information, develop researchable questions, see patterns and themes.</w:t>
      </w:r>
      <w:r w:rsidR="004B40D4" w:rsidRPr="001251B5">
        <w:rPr>
          <w:rFonts w:ascii="Garamond" w:hAnsi="Garamond"/>
          <w:i/>
          <w:sz w:val="22"/>
          <w:szCs w:val="22"/>
        </w:rPr>
        <w:t xml:space="preserve"> </w:t>
      </w:r>
    </w:p>
    <w:p w14:paraId="0EB65ABB" w14:textId="23738E86" w:rsidR="00370563" w:rsidRPr="001251B5" w:rsidRDefault="00A31673" w:rsidP="00F822D5">
      <w:pPr>
        <w:ind w:left="1440"/>
        <w:rPr>
          <w:rFonts w:ascii="Garamond" w:hAnsi="Garamond" w:cs="Times New Roman"/>
          <w:sz w:val="22"/>
          <w:szCs w:val="22"/>
        </w:rPr>
      </w:pPr>
      <w:r w:rsidRPr="001251B5">
        <w:rPr>
          <w:rFonts w:ascii="Garamond" w:hAnsi="Garamond" w:cs="Times New Roman"/>
          <w:sz w:val="22"/>
          <w:szCs w:val="22"/>
        </w:rPr>
        <w:t xml:space="preserve"> </w:t>
      </w:r>
    </w:p>
    <w:p w14:paraId="2C2DDF12" w14:textId="7FC34F33" w:rsidR="001A47AD" w:rsidRPr="001251B5" w:rsidRDefault="001A47AD" w:rsidP="00F822D5">
      <w:pPr>
        <w:ind w:left="720"/>
        <w:rPr>
          <w:rFonts w:ascii="Garamond" w:hAnsi="Garamond"/>
          <w:sz w:val="22"/>
          <w:szCs w:val="22"/>
        </w:rPr>
      </w:pPr>
      <w:r w:rsidRPr="001251B5">
        <w:rPr>
          <w:rFonts w:ascii="Garamond" w:hAnsi="Garamond"/>
          <w:b/>
          <w:bCs/>
          <w:sz w:val="22"/>
          <w:szCs w:val="22"/>
        </w:rPr>
        <w:t>Cooperative, or Social Learning</w:t>
      </w:r>
      <w:r w:rsidR="004B40D4" w:rsidRPr="001251B5">
        <w:rPr>
          <w:rFonts w:ascii="Garamond" w:hAnsi="Garamond"/>
          <w:b/>
          <w:bCs/>
          <w:sz w:val="22"/>
          <w:szCs w:val="22"/>
        </w:rPr>
        <w:t xml:space="preserve">. </w:t>
      </w:r>
      <w:r w:rsidR="004B40D4" w:rsidRPr="001251B5">
        <w:rPr>
          <w:rFonts w:ascii="Garamond" w:hAnsi="Garamond"/>
          <w:sz w:val="22"/>
          <w:szCs w:val="22"/>
        </w:rPr>
        <w:t>Teachers facilitate the</w:t>
      </w:r>
      <w:r w:rsidRPr="001251B5">
        <w:rPr>
          <w:rFonts w:ascii="Garamond" w:hAnsi="Garamond"/>
          <w:sz w:val="22"/>
          <w:szCs w:val="22"/>
        </w:rPr>
        <w:t xml:space="preserve"> development of the group</w:t>
      </w:r>
      <w:r w:rsidR="004B40D4" w:rsidRPr="001251B5">
        <w:rPr>
          <w:rFonts w:ascii="Garamond" w:hAnsi="Garamond"/>
          <w:sz w:val="22"/>
          <w:szCs w:val="22"/>
        </w:rPr>
        <w:t>/team</w:t>
      </w:r>
      <w:r w:rsidRPr="001251B5">
        <w:rPr>
          <w:rFonts w:ascii="Garamond" w:hAnsi="Garamond"/>
          <w:sz w:val="22"/>
          <w:szCs w:val="22"/>
        </w:rPr>
        <w:t xml:space="preserve"> and the skills of group interaction and cooperative learning.   </w:t>
      </w:r>
    </w:p>
    <w:p w14:paraId="76D38D47" w14:textId="313F8D69" w:rsidR="001A47AD" w:rsidRPr="001251B5" w:rsidRDefault="00F822D5" w:rsidP="00E9138E">
      <w:pPr>
        <w:pStyle w:val="a"/>
        <w:numPr>
          <w:ilvl w:val="0"/>
          <w:numId w:val="20"/>
        </w:numPr>
        <w:ind w:left="1440"/>
        <w:rPr>
          <w:rFonts w:ascii="Garamond" w:hAnsi="Garamond"/>
          <w:sz w:val="22"/>
          <w:szCs w:val="22"/>
        </w:rPr>
      </w:pPr>
      <w:r w:rsidRPr="001251B5">
        <w:rPr>
          <w:rFonts w:ascii="Garamond" w:hAnsi="Garamond"/>
          <w:sz w:val="22"/>
          <w:szCs w:val="22"/>
        </w:rPr>
        <w:t xml:space="preserve">Learners </w:t>
      </w:r>
      <w:r w:rsidR="001A47AD" w:rsidRPr="001251B5">
        <w:rPr>
          <w:rFonts w:ascii="Garamond" w:hAnsi="Garamond"/>
          <w:sz w:val="22"/>
          <w:szCs w:val="22"/>
        </w:rPr>
        <w:t xml:space="preserve">explore problems, issues, </w:t>
      </w:r>
      <w:proofErr w:type="gramStart"/>
      <w:r w:rsidR="001A47AD" w:rsidRPr="001251B5">
        <w:rPr>
          <w:rFonts w:ascii="Garamond" w:hAnsi="Garamond"/>
          <w:sz w:val="22"/>
          <w:szCs w:val="22"/>
        </w:rPr>
        <w:t>subject</w:t>
      </w:r>
      <w:proofErr w:type="gramEnd"/>
      <w:r w:rsidR="001A47AD" w:rsidRPr="001251B5">
        <w:rPr>
          <w:rFonts w:ascii="Garamond" w:hAnsi="Garamond"/>
          <w:sz w:val="22"/>
          <w:szCs w:val="22"/>
        </w:rPr>
        <w:t xml:space="preserve"> matter through group inquiry. Individual</w:t>
      </w:r>
      <w:r w:rsidRPr="001251B5">
        <w:rPr>
          <w:rFonts w:ascii="Garamond" w:hAnsi="Garamond"/>
          <w:sz w:val="22"/>
          <w:szCs w:val="22"/>
        </w:rPr>
        <w:t>s</w:t>
      </w:r>
      <w:r w:rsidR="001A47AD" w:rsidRPr="001251B5">
        <w:rPr>
          <w:rFonts w:ascii="Garamond" w:hAnsi="Garamond"/>
          <w:sz w:val="22"/>
          <w:szCs w:val="22"/>
        </w:rPr>
        <w:t xml:space="preserve"> learn to assume responsibility for certain aspects of the group's behavior, contribute to the group's performance, learn to respect and enhance the abilities of others in the group.</w:t>
      </w:r>
    </w:p>
    <w:p w14:paraId="2CDFD188" w14:textId="5A5443B7" w:rsidR="001A47AD" w:rsidRPr="001251B5" w:rsidRDefault="00F822D5" w:rsidP="00E9138E">
      <w:pPr>
        <w:pStyle w:val="ListParagraph"/>
        <w:numPr>
          <w:ilvl w:val="0"/>
          <w:numId w:val="20"/>
        </w:numPr>
        <w:ind w:left="1440"/>
        <w:rPr>
          <w:rFonts w:ascii="Garamond" w:hAnsi="Garamond"/>
          <w:sz w:val="22"/>
          <w:szCs w:val="22"/>
        </w:rPr>
      </w:pPr>
      <w:r w:rsidRPr="001251B5">
        <w:rPr>
          <w:rFonts w:ascii="Garamond" w:hAnsi="Garamond"/>
          <w:sz w:val="22"/>
          <w:szCs w:val="22"/>
        </w:rPr>
        <w:t>Learners</w:t>
      </w:r>
      <w:r w:rsidR="001A47AD" w:rsidRPr="001251B5">
        <w:rPr>
          <w:rFonts w:ascii="Garamond" w:hAnsi="Garamond"/>
          <w:sz w:val="22"/>
          <w:szCs w:val="22"/>
        </w:rPr>
        <w:t xml:space="preserve"> </w:t>
      </w:r>
      <w:r w:rsidRPr="001251B5">
        <w:rPr>
          <w:rFonts w:ascii="Garamond" w:hAnsi="Garamond"/>
          <w:sz w:val="22"/>
          <w:szCs w:val="22"/>
        </w:rPr>
        <w:t xml:space="preserve">engage in </w:t>
      </w:r>
      <w:proofErr w:type="gramStart"/>
      <w:r w:rsidRPr="001251B5">
        <w:rPr>
          <w:rFonts w:ascii="Garamond" w:hAnsi="Garamond"/>
          <w:sz w:val="22"/>
          <w:szCs w:val="22"/>
        </w:rPr>
        <w:t>role plays</w:t>
      </w:r>
      <w:proofErr w:type="gramEnd"/>
      <w:r w:rsidRPr="001251B5">
        <w:rPr>
          <w:rFonts w:ascii="Garamond" w:hAnsi="Garamond"/>
          <w:sz w:val="22"/>
          <w:szCs w:val="22"/>
        </w:rPr>
        <w:t xml:space="preserve"> or simulations. They probe an</w:t>
      </w:r>
      <w:r w:rsidR="001A47AD" w:rsidRPr="001251B5">
        <w:rPr>
          <w:rFonts w:ascii="Garamond" w:hAnsi="Garamond"/>
          <w:sz w:val="22"/>
          <w:szCs w:val="22"/>
        </w:rPr>
        <w:t xml:space="preserve"> issue, event, or subject matter through the use of a brief "enactment" or </w:t>
      </w:r>
      <w:r w:rsidRPr="001251B5">
        <w:rPr>
          <w:rFonts w:ascii="Garamond" w:hAnsi="Garamond"/>
          <w:sz w:val="22"/>
          <w:szCs w:val="22"/>
        </w:rPr>
        <w:t xml:space="preserve">more involved </w:t>
      </w:r>
      <w:r w:rsidR="001A47AD" w:rsidRPr="001251B5">
        <w:rPr>
          <w:rFonts w:ascii="Garamond" w:hAnsi="Garamond"/>
          <w:sz w:val="22"/>
          <w:szCs w:val="22"/>
        </w:rPr>
        <w:t>real-</w:t>
      </w:r>
      <w:r w:rsidRPr="001251B5">
        <w:rPr>
          <w:rFonts w:ascii="Garamond" w:hAnsi="Garamond"/>
          <w:sz w:val="22"/>
          <w:szCs w:val="22"/>
        </w:rPr>
        <w:t>to-life simulation</w:t>
      </w:r>
      <w:r w:rsidR="001A47AD" w:rsidRPr="001251B5">
        <w:rPr>
          <w:rFonts w:ascii="Garamond" w:hAnsi="Garamond"/>
          <w:sz w:val="22"/>
          <w:szCs w:val="22"/>
        </w:rPr>
        <w:t>.</w:t>
      </w:r>
      <w:r w:rsidRPr="001251B5">
        <w:rPr>
          <w:rFonts w:ascii="Garamond" w:hAnsi="Garamond"/>
          <w:sz w:val="22"/>
          <w:szCs w:val="22"/>
        </w:rPr>
        <w:t xml:space="preserve"> Participants learn from reflection on their own responses and the responses of others.</w:t>
      </w:r>
    </w:p>
    <w:p w14:paraId="2176283F" w14:textId="27653E6E" w:rsidR="001A47AD" w:rsidRPr="001251B5" w:rsidRDefault="001A47AD" w:rsidP="00E9138E">
      <w:pPr>
        <w:pStyle w:val="a"/>
        <w:numPr>
          <w:ilvl w:val="0"/>
          <w:numId w:val="20"/>
        </w:numPr>
        <w:ind w:left="1440"/>
        <w:rPr>
          <w:rFonts w:ascii="Garamond" w:hAnsi="Garamond"/>
          <w:sz w:val="22"/>
          <w:szCs w:val="22"/>
        </w:rPr>
      </w:pPr>
      <w:r w:rsidRPr="001251B5">
        <w:rPr>
          <w:rFonts w:ascii="Garamond" w:hAnsi="Garamond"/>
          <w:sz w:val="22"/>
          <w:szCs w:val="22"/>
        </w:rPr>
        <w:t>Students are given case stud</w:t>
      </w:r>
      <w:r w:rsidR="00F822D5" w:rsidRPr="001251B5">
        <w:rPr>
          <w:rFonts w:ascii="Garamond" w:hAnsi="Garamond"/>
          <w:sz w:val="22"/>
          <w:szCs w:val="22"/>
        </w:rPr>
        <w:t xml:space="preserve">ies or problem statements of issues that affect </w:t>
      </w:r>
      <w:r w:rsidRPr="001251B5">
        <w:rPr>
          <w:rFonts w:ascii="Garamond" w:hAnsi="Garamond"/>
          <w:sz w:val="22"/>
          <w:szCs w:val="22"/>
        </w:rPr>
        <w:t xml:space="preserve">groups, </w:t>
      </w:r>
      <w:r w:rsidR="00F822D5" w:rsidRPr="001251B5">
        <w:rPr>
          <w:rFonts w:ascii="Garamond" w:hAnsi="Garamond"/>
          <w:sz w:val="22"/>
          <w:szCs w:val="22"/>
        </w:rPr>
        <w:t xml:space="preserve">organizations, </w:t>
      </w:r>
      <w:r w:rsidRPr="001251B5">
        <w:rPr>
          <w:rFonts w:ascii="Garamond" w:hAnsi="Garamond"/>
          <w:sz w:val="22"/>
          <w:szCs w:val="22"/>
        </w:rPr>
        <w:t xml:space="preserve">communities, </w:t>
      </w:r>
      <w:proofErr w:type="gramStart"/>
      <w:r w:rsidRPr="001251B5">
        <w:rPr>
          <w:rFonts w:ascii="Garamond" w:hAnsi="Garamond"/>
          <w:sz w:val="22"/>
          <w:szCs w:val="22"/>
        </w:rPr>
        <w:t>nations</w:t>
      </w:r>
      <w:proofErr w:type="gramEnd"/>
      <w:r w:rsidRPr="001251B5">
        <w:rPr>
          <w:rFonts w:ascii="Garamond" w:hAnsi="Garamond"/>
          <w:sz w:val="22"/>
          <w:szCs w:val="22"/>
        </w:rPr>
        <w:t>. These problems can only be resolved through mutual inquiry into values, resolving conflicts, clarifying assumptions and presumptions.</w:t>
      </w:r>
    </w:p>
    <w:p w14:paraId="4CF2CA8F" w14:textId="318CF939" w:rsidR="001A47AD" w:rsidRPr="001251B5" w:rsidRDefault="00E9138E" w:rsidP="00E9138E">
      <w:pPr>
        <w:pStyle w:val="a"/>
        <w:numPr>
          <w:ilvl w:val="0"/>
          <w:numId w:val="21"/>
        </w:numPr>
        <w:ind w:left="1440"/>
        <w:rPr>
          <w:rFonts w:ascii="Garamond" w:hAnsi="Garamond"/>
          <w:sz w:val="22"/>
          <w:szCs w:val="22"/>
        </w:rPr>
      </w:pPr>
      <w:r w:rsidRPr="001251B5">
        <w:rPr>
          <w:rFonts w:ascii="Garamond" w:hAnsi="Garamond"/>
          <w:sz w:val="22"/>
          <w:szCs w:val="22"/>
        </w:rPr>
        <w:t>In “learning lab” experiences (where behavior is observed and then debriefed) participants</w:t>
      </w:r>
      <w:r w:rsidRPr="001251B5">
        <w:rPr>
          <w:rFonts w:ascii="Garamond" w:hAnsi="Garamond"/>
          <w:i/>
          <w:sz w:val="22"/>
          <w:szCs w:val="22"/>
        </w:rPr>
        <w:t xml:space="preserve"> </w:t>
      </w:r>
      <w:r w:rsidR="001A47AD" w:rsidRPr="001251B5">
        <w:rPr>
          <w:rFonts w:ascii="Garamond" w:hAnsi="Garamond"/>
          <w:sz w:val="22"/>
          <w:szCs w:val="22"/>
        </w:rPr>
        <w:t xml:space="preserve">learn </w:t>
      </w:r>
      <w:r w:rsidRPr="001251B5">
        <w:rPr>
          <w:rFonts w:ascii="Garamond" w:hAnsi="Garamond"/>
          <w:sz w:val="22"/>
          <w:szCs w:val="22"/>
        </w:rPr>
        <w:t xml:space="preserve">the skills of analysis of group and organizational behavior, adapting to change, </w:t>
      </w:r>
      <w:r w:rsidR="001A47AD" w:rsidRPr="001251B5">
        <w:rPr>
          <w:rFonts w:ascii="Garamond" w:hAnsi="Garamond"/>
          <w:sz w:val="22"/>
          <w:szCs w:val="22"/>
        </w:rPr>
        <w:t>resolving conflict, communication, working with people.</w:t>
      </w:r>
    </w:p>
    <w:p w14:paraId="0FECC705" w14:textId="40230590" w:rsidR="001A47AD" w:rsidRPr="001251B5" w:rsidRDefault="00E9138E" w:rsidP="00E9138E">
      <w:pPr>
        <w:pStyle w:val="ListParagraph"/>
        <w:numPr>
          <w:ilvl w:val="0"/>
          <w:numId w:val="21"/>
        </w:numPr>
        <w:ind w:left="1440"/>
        <w:rPr>
          <w:rFonts w:ascii="Garamond" w:hAnsi="Garamond" w:cs="Times New Roman"/>
          <w:sz w:val="22"/>
          <w:szCs w:val="22"/>
        </w:rPr>
      </w:pPr>
      <w:r w:rsidRPr="001251B5">
        <w:rPr>
          <w:rFonts w:ascii="Garamond" w:hAnsi="Garamond"/>
          <w:sz w:val="22"/>
          <w:szCs w:val="22"/>
        </w:rPr>
        <w:t>Participants engage in</w:t>
      </w:r>
      <w:r w:rsidR="001A47AD" w:rsidRPr="001251B5">
        <w:rPr>
          <w:rFonts w:ascii="Garamond" w:hAnsi="Garamond"/>
          <w:sz w:val="22"/>
          <w:szCs w:val="22"/>
        </w:rPr>
        <w:t xml:space="preserve"> ethnographic </w:t>
      </w:r>
      <w:r w:rsidRPr="001251B5">
        <w:rPr>
          <w:rFonts w:ascii="Garamond" w:hAnsi="Garamond"/>
          <w:sz w:val="22"/>
          <w:szCs w:val="22"/>
        </w:rPr>
        <w:t>or qualitative inquiry</w:t>
      </w:r>
      <w:r w:rsidR="001A47AD" w:rsidRPr="001251B5">
        <w:rPr>
          <w:rFonts w:ascii="Garamond" w:hAnsi="Garamond"/>
          <w:sz w:val="22"/>
          <w:szCs w:val="22"/>
        </w:rPr>
        <w:t xml:space="preserve"> where, through interview and participant observation, </w:t>
      </w:r>
      <w:r w:rsidRPr="001251B5">
        <w:rPr>
          <w:rFonts w:ascii="Garamond" w:hAnsi="Garamond"/>
          <w:sz w:val="22"/>
          <w:szCs w:val="22"/>
        </w:rPr>
        <w:t xml:space="preserve">they </w:t>
      </w:r>
      <w:r w:rsidR="001A47AD" w:rsidRPr="001251B5">
        <w:rPr>
          <w:rFonts w:ascii="Garamond" w:hAnsi="Garamond"/>
          <w:sz w:val="22"/>
          <w:szCs w:val="22"/>
        </w:rPr>
        <w:t>discern the character of organizations, groups and cultures.</w:t>
      </w:r>
      <w:r w:rsidR="001A47AD" w:rsidRPr="001251B5">
        <w:rPr>
          <w:rFonts w:ascii="Garamond" w:hAnsi="Garamond" w:cs="Times New Roman"/>
          <w:sz w:val="22"/>
          <w:szCs w:val="22"/>
        </w:rPr>
        <w:t xml:space="preserve"> </w:t>
      </w:r>
    </w:p>
    <w:p w14:paraId="6A7CCF6A" w14:textId="3BDAF9FE" w:rsidR="001A47AD" w:rsidRPr="001251B5" w:rsidRDefault="00F822D5" w:rsidP="00E9138E">
      <w:pPr>
        <w:ind w:left="1440"/>
        <w:rPr>
          <w:rFonts w:ascii="Garamond" w:hAnsi="Garamond" w:cs="Times New Roman"/>
          <w:sz w:val="22"/>
          <w:szCs w:val="22"/>
        </w:rPr>
      </w:pPr>
      <w:r w:rsidRPr="001251B5">
        <w:rPr>
          <w:rFonts w:ascii="Garamond" w:hAnsi="Garamond" w:cs="Times New Roman"/>
          <w:sz w:val="22"/>
          <w:szCs w:val="22"/>
        </w:rPr>
        <w:t xml:space="preserve"> </w:t>
      </w:r>
    </w:p>
    <w:p w14:paraId="4B151801" w14:textId="11D8F677" w:rsidR="001A47AD" w:rsidRPr="001251B5" w:rsidRDefault="00370563" w:rsidP="00E9138E">
      <w:pPr>
        <w:ind w:left="720"/>
        <w:rPr>
          <w:rFonts w:ascii="Garamond" w:hAnsi="Garamond"/>
          <w:sz w:val="22"/>
          <w:szCs w:val="22"/>
        </w:rPr>
      </w:pPr>
      <w:r w:rsidRPr="001251B5">
        <w:rPr>
          <w:rFonts w:ascii="Garamond" w:hAnsi="Garamond" w:cs="Times New Roman"/>
          <w:b/>
          <w:sz w:val="22"/>
          <w:szCs w:val="22"/>
        </w:rPr>
        <w:t>Personal Models</w:t>
      </w:r>
      <w:r w:rsidR="00E9138E" w:rsidRPr="001251B5">
        <w:rPr>
          <w:rFonts w:ascii="Garamond" w:hAnsi="Garamond" w:cs="Times New Roman"/>
          <w:b/>
          <w:sz w:val="22"/>
          <w:szCs w:val="22"/>
        </w:rPr>
        <w:t xml:space="preserve">. </w:t>
      </w:r>
      <w:r w:rsidR="00E9138E" w:rsidRPr="001251B5">
        <w:rPr>
          <w:rFonts w:ascii="Garamond" w:hAnsi="Garamond" w:cs="Times New Roman"/>
          <w:sz w:val="22"/>
          <w:szCs w:val="22"/>
        </w:rPr>
        <w:t>Teachers focus on</w:t>
      </w:r>
      <w:r w:rsidR="001A47AD" w:rsidRPr="001251B5">
        <w:rPr>
          <w:rFonts w:ascii="Garamond" w:hAnsi="Garamond"/>
          <w:sz w:val="22"/>
          <w:szCs w:val="22"/>
        </w:rPr>
        <w:t xml:space="preserve"> the personal development of the individual. The instructional approaches are grounded in the understan</w:t>
      </w:r>
      <w:r w:rsidR="00E9138E" w:rsidRPr="001251B5">
        <w:rPr>
          <w:rFonts w:ascii="Garamond" w:hAnsi="Garamond"/>
          <w:sz w:val="22"/>
          <w:szCs w:val="22"/>
        </w:rPr>
        <w:t>ding that issues related to human development</w:t>
      </w:r>
      <w:r w:rsidR="001A47AD" w:rsidRPr="001251B5">
        <w:rPr>
          <w:rFonts w:ascii="Garamond" w:hAnsi="Garamond"/>
          <w:sz w:val="22"/>
          <w:szCs w:val="22"/>
        </w:rPr>
        <w:t xml:space="preserve"> (e.g., self concept, maturity, ability to relate to others, and so on) affect one's capacity for learning. </w:t>
      </w:r>
      <w:r w:rsidR="00E9138E" w:rsidRPr="001251B5">
        <w:rPr>
          <w:rFonts w:ascii="Garamond" w:hAnsi="Garamond"/>
          <w:sz w:val="22"/>
          <w:szCs w:val="22"/>
        </w:rPr>
        <w:t xml:space="preserve"> </w:t>
      </w:r>
    </w:p>
    <w:p w14:paraId="0346CAF0" w14:textId="63DC79ED" w:rsidR="001A47AD" w:rsidRPr="001251B5" w:rsidRDefault="001A47AD" w:rsidP="00E9138E">
      <w:pPr>
        <w:pStyle w:val="a"/>
        <w:numPr>
          <w:ilvl w:val="0"/>
          <w:numId w:val="22"/>
        </w:numPr>
        <w:ind w:left="1440"/>
        <w:rPr>
          <w:rFonts w:ascii="Garamond" w:hAnsi="Garamond"/>
          <w:sz w:val="22"/>
          <w:szCs w:val="22"/>
        </w:rPr>
      </w:pPr>
      <w:r w:rsidRPr="001251B5">
        <w:rPr>
          <w:rFonts w:ascii="Garamond" w:hAnsi="Garamond"/>
          <w:sz w:val="22"/>
          <w:szCs w:val="22"/>
        </w:rPr>
        <w:t>The teacher becomes a</w:t>
      </w:r>
      <w:r w:rsidR="00E9138E" w:rsidRPr="001251B5">
        <w:rPr>
          <w:rFonts w:ascii="Garamond" w:hAnsi="Garamond"/>
          <w:sz w:val="22"/>
          <w:szCs w:val="22"/>
        </w:rPr>
        <w:t xml:space="preserve"> "counselor" who helps learners </w:t>
      </w:r>
      <w:r w:rsidRPr="001251B5">
        <w:rPr>
          <w:rFonts w:ascii="Garamond" w:hAnsi="Garamond"/>
          <w:sz w:val="22"/>
          <w:szCs w:val="22"/>
        </w:rPr>
        <w:t>understand themselves, clarify their personal goals, accept responsibility for their growth and activities.</w:t>
      </w:r>
    </w:p>
    <w:p w14:paraId="4DE4143B" w14:textId="47743A93" w:rsidR="001A47AD" w:rsidRPr="001251B5" w:rsidRDefault="00E9138E" w:rsidP="00E9138E">
      <w:pPr>
        <w:pStyle w:val="a"/>
        <w:numPr>
          <w:ilvl w:val="0"/>
          <w:numId w:val="22"/>
        </w:numPr>
        <w:ind w:left="1440"/>
        <w:rPr>
          <w:rFonts w:ascii="Garamond" w:hAnsi="Garamond"/>
          <w:sz w:val="22"/>
          <w:szCs w:val="22"/>
        </w:rPr>
      </w:pPr>
      <w:r w:rsidRPr="001251B5">
        <w:rPr>
          <w:rFonts w:ascii="Garamond" w:hAnsi="Garamond"/>
          <w:sz w:val="22"/>
          <w:szCs w:val="22"/>
        </w:rPr>
        <w:t xml:space="preserve">Learners </w:t>
      </w:r>
      <w:r w:rsidR="001A47AD" w:rsidRPr="001251B5">
        <w:rPr>
          <w:rFonts w:ascii="Garamond" w:hAnsi="Garamond"/>
          <w:sz w:val="22"/>
          <w:szCs w:val="22"/>
        </w:rPr>
        <w:t>share in the development of the classroom environment and learning experiences. The teacher facilitates discussion and interaction in these meetings and leads the group to reflect on the quality of their interaction.</w:t>
      </w:r>
    </w:p>
    <w:p w14:paraId="0120C875" w14:textId="096F4B44" w:rsidR="001A47AD" w:rsidRPr="001251B5" w:rsidRDefault="00E9138E" w:rsidP="00E9138E">
      <w:pPr>
        <w:pStyle w:val="a"/>
        <w:numPr>
          <w:ilvl w:val="0"/>
          <w:numId w:val="22"/>
        </w:numPr>
        <w:ind w:left="1440"/>
        <w:rPr>
          <w:rFonts w:ascii="Garamond" w:hAnsi="Garamond"/>
          <w:sz w:val="22"/>
          <w:szCs w:val="22"/>
        </w:rPr>
      </w:pPr>
      <w:r w:rsidRPr="001251B5">
        <w:rPr>
          <w:rFonts w:ascii="Garamond" w:hAnsi="Garamond"/>
          <w:sz w:val="22"/>
          <w:szCs w:val="22"/>
        </w:rPr>
        <w:t>Learners a</w:t>
      </w:r>
      <w:r w:rsidR="001A47AD" w:rsidRPr="001251B5">
        <w:rPr>
          <w:rFonts w:ascii="Garamond" w:hAnsi="Garamond"/>
          <w:sz w:val="22"/>
          <w:szCs w:val="22"/>
        </w:rPr>
        <w:t>re involved in experiences designed to enhance their awareness of other perspectives and points of view. They learn to generate fresh approaches to problems, engage in creative writing and speaking, and work together on tasks that require different perspectives to be resolved.</w:t>
      </w:r>
    </w:p>
    <w:p w14:paraId="2A5EE336" w14:textId="32855AEE" w:rsidR="00370563" w:rsidRPr="001251B5" w:rsidRDefault="00E9138E" w:rsidP="00E9138E">
      <w:pPr>
        <w:pStyle w:val="a"/>
        <w:numPr>
          <w:ilvl w:val="0"/>
          <w:numId w:val="22"/>
        </w:numPr>
        <w:ind w:left="1440"/>
        <w:rPr>
          <w:rFonts w:ascii="Garamond" w:hAnsi="Garamond"/>
          <w:sz w:val="22"/>
          <w:szCs w:val="22"/>
        </w:rPr>
      </w:pPr>
      <w:r w:rsidRPr="001251B5">
        <w:rPr>
          <w:rFonts w:ascii="Garamond" w:hAnsi="Garamond"/>
          <w:sz w:val="22"/>
          <w:szCs w:val="22"/>
        </w:rPr>
        <w:t xml:space="preserve">The teacher is typically non-directive. </w:t>
      </w:r>
    </w:p>
    <w:p w14:paraId="153F6A55" w14:textId="77777777" w:rsidR="00370563" w:rsidRPr="001251B5" w:rsidRDefault="00370563" w:rsidP="00370563">
      <w:pPr>
        <w:rPr>
          <w:rFonts w:ascii="Garamond" w:eastAsia="Times New Roman" w:hAnsi="Garamond" w:cs="Times New Roman"/>
          <w:sz w:val="22"/>
          <w:szCs w:val="22"/>
        </w:rPr>
      </w:pPr>
      <w:r w:rsidRPr="001251B5">
        <w:rPr>
          <w:rFonts w:ascii="Garamond" w:eastAsia="Times New Roman" w:hAnsi="Garamond" w:cs="Times New Roman"/>
          <w:sz w:val="22"/>
          <w:szCs w:val="22"/>
        </w:rPr>
        <w:t> </w:t>
      </w:r>
    </w:p>
    <w:p w14:paraId="2E9899BF" w14:textId="01D52C26" w:rsidR="001A47AD" w:rsidRPr="001251B5" w:rsidRDefault="00370563" w:rsidP="00F822D5">
      <w:pPr>
        <w:ind w:left="720"/>
        <w:rPr>
          <w:rFonts w:ascii="Garamond" w:hAnsi="Garamond"/>
          <w:sz w:val="22"/>
          <w:szCs w:val="22"/>
        </w:rPr>
      </w:pPr>
      <w:r w:rsidRPr="001251B5">
        <w:rPr>
          <w:rFonts w:ascii="Garamond" w:hAnsi="Garamond" w:cs="Times New Roman"/>
          <w:b/>
          <w:sz w:val="22"/>
          <w:szCs w:val="22"/>
        </w:rPr>
        <w:t xml:space="preserve">Behavioral </w:t>
      </w:r>
      <w:r w:rsidR="001A47AD" w:rsidRPr="001251B5">
        <w:rPr>
          <w:rFonts w:ascii="Garamond" w:hAnsi="Garamond" w:cs="Times New Roman"/>
          <w:b/>
          <w:sz w:val="22"/>
          <w:szCs w:val="22"/>
        </w:rPr>
        <w:t xml:space="preserve">or Structured </w:t>
      </w:r>
      <w:r w:rsidRPr="001251B5">
        <w:rPr>
          <w:rFonts w:ascii="Garamond" w:hAnsi="Garamond" w:cs="Times New Roman"/>
          <w:b/>
          <w:sz w:val="22"/>
          <w:szCs w:val="22"/>
        </w:rPr>
        <w:t>Models</w:t>
      </w:r>
      <w:r w:rsidR="004B40D4" w:rsidRPr="001251B5">
        <w:rPr>
          <w:rFonts w:ascii="Garamond" w:hAnsi="Garamond" w:cs="Times New Roman"/>
          <w:b/>
          <w:sz w:val="22"/>
          <w:szCs w:val="22"/>
        </w:rPr>
        <w:t xml:space="preserve">. </w:t>
      </w:r>
      <w:r w:rsidR="004B40D4" w:rsidRPr="001251B5">
        <w:rPr>
          <w:rFonts w:ascii="Garamond" w:hAnsi="Garamond" w:cs="Times New Roman"/>
          <w:sz w:val="22"/>
          <w:szCs w:val="22"/>
        </w:rPr>
        <w:t>B</w:t>
      </w:r>
      <w:r w:rsidR="00F822D5" w:rsidRPr="001251B5">
        <w:rPr>
          <w:rFonts w:ascii="Garamond" w:hAnsi="Garamond"/>
          <w:sz w:val="22"/>
          <w:szCs w:val="22"/>
        </w:rPr>
        <w:t xml:space="preserve">ased on one’s </w:t>
      </w:r>
      <w:r w:rsidR="001A47AD" w:rsidRPr="001251B5">
        <w:rPr>
          <w:rFonts w:ascii="Garamond" w:hAnsi="Garamond"/>
          <w:sz w:val="22"/>
          <w:szCs w:val="22"/>
        </w:rPr>
        <w:t xml:space="preserve">capacity to learn and modify behavior by responding to tasks, circumstances, </w:t>
      </w:r>
      <w:r w:rsidR="004B40D4" w:rsidRPr="001251B5">
        <w:rPr>
          <w:rFonts w:ascii="Garamond" w:hAnsi="Garamond"/>
          <w:sz w:val="22"/>
          <w:szCs w:val="22"/>
        </w:rPr>
        <w:t xml:space="preserve">and </w:t>
      </w:r>
      <w:r w:rsidR="001A47AD" w:rsidRPr="001251B5">
        <w:rPr>
          <w:rFonts w:ascii="Garamond" w:hAnsi="Garamond"/>
          <w:sz w:val="22"/>
          <w:szCs w:val="22"/>
        </w:rPr>
        <w:t xml:space="preserve">feedback. </w:t>
      </w:r>
    </w:p>
    <w:p w14:paraId="7344BAF7" w14:textId="451079A0" w:rsidR="00F822D5" w:rsidRPr="001251B5" w:rsidRDefault="001A47AD" w:rsidP="00F822D5">
      <w:pPr>
        <w:pStyle w:val="ListParagraph"/>
        <w:numPr>
          <w:ilvl w:val="0"/>
          <w:numId w:val="19"/>
        </w:numPr>
        <w:ind w:left="1440"/>
        <w:rPr>
          <w:rFonts w:ascii="Garamond" w:hAnsi="Garamond" w:cs="Times New Roman"/>
          <w:sz w:val="22"/>
          <w:szCs w:val="22"/>
        </w:rPr>
      </w:pPr>
      <w:r w:rsidRPr="001251B5">
        <w:rPr>
          <w:rFonts w:ascii="Garamond" w:hAnsi="Garamond" w:cs="Times New Roman"/>
          <w:sz w:val="22"/>
          <w:szCs w:val="22"/>
        </w:rPr>
        <w:t>Explicit, direct instruction through lecture and/or demonstration</w:t>
      </w:r>
      <w:r w:rsidR="00F822D5" w:rsidRPr="001251B5">
        <w:rPr>
          <w:rFonts w:ascii="Garamond" w:hAnsi="Garamond" w:cs="Times New Roman"/>
          <w:sz w:val="22"/>
          <w:szCs w:val="22"/>
        </w:rPr>
        <w:t>.</w:t>
      </w:r>
    </w:p>
    <w:p w14:paraId="353044C5" w14:textId="694D66AD" w:rsidR="003A7CED" w:rsidRPr="001251B5" w:rsidRDefault="00370563" w:rsidP="00F822D5">
      <w:pPr>
        <w:pStyle w:val="ListParagraph"/>
        <w:numPr>
          <w:ilvl w:val="0"/>
          <w:numId w:val="19"/>
        </w:numPr>
        <w:ind w:left="1440"/>
        <w:rPr>
          <w:rFonts w:ascii="Garamond" w:hAnsi="Garamond"/>
          <w:sz w:val="22"/>
          <w:szCs w:val="22"/>
        </w:rPr>
      </w:pPr>
      <w:r w:rsidRPr="001251B5">
        <w:rPr>
          <w:rFonts w:ascii="Garamond" w:hAnsi="Garamond" w:cs="Times New Roman"/>
          <w:sz w:val="22"/>
          <w:szCs w:val="22"/>
        </w:rPr>
        <w:t>Mastery Learning</w:t>
      </w:r>
      <w:r w:rsidR="001A47AD" w:rsidRPr="001251B5">
        <w:rPr>
          <w:rFonts w:ascii="Garamond" w:hAnsi="Garamond" w:cs="Times New Roman"/>
          <w:sz w:val="22"/>
          <w:szCs w:val="22"/>
        </w:rPr>
        <w:t xml:space="preserve"> or competency based instruction.</w:t>
      </w:r>
      <w:r w:rsidR="001A47AD" w:rsidRPr="001251B5">
        <w:rPr>
          <w:rFonts w:ascii="Garamond" w:hAnsi="Garamond"/>
          <w:sz w:val="22"/>
          <w:szCs w:val="22"/>
        </w:rPr>
        <w:t xml:space="preserve"> Students learn </w:t>
      </w:r>
      <w:proofErr w:type="gramStart"/>
      <w:r w:rsidR="001A47AD" w:rsidRPr="001251B5">
        <w:rPr>
          <w:rFonts w:ascii="Garamond" w:hAnsi="Garamond"/>
          <w:sz w:val="22"/>
          <w:szCs w:val="22"/>
        </w:rPr>
        <w:t>at their own pace</w:t>
      </w:r>
      <w:proofErr w:type="gramEnd"/>
      <w:r w:rsidR="00F822D5" w:rsidRPr="001251B5">
        <w:rPr>
          <w:rFonts w:ascii="Garamond" w:hAnsi="Garamond"/>
          <w:sz w:val="22"/>
          <w:szCs w:val="22"/>
        </w:rPr>
        <w:t>.</w:t>
      </w:r>
      <w:r w:rsidR="001A47AD" w:rsidRPr="001251B5">
        <w:rPr>
          <w:rFonts w:ascii="Garamond" w:hAnsi="Garamond"/>
          <w:sz w:val="22"/>
          <w:szCs w:val="22"/>
        </w:rPr>
        <w:t xml:space="preserve"> The teacher specifies learning goals, learning activities, and provides opportunity for self-evaluation. Competencies for particular tasks or work are specified. Assessment is based on “mastery” of the task to specified criteria.</w:t>
      </w:r>
      <w:r w:rsidR="00F822D5" w:rsidRPr="001251B5">
        <w:rPr>
          <w:rFonts w:ascii="Garamond" w:hAnsi="Garamond" w:cs="Times New Roman"/>
          <w:sz w:val="22"/>
          <w:szCs w:val="22"/>
        </w:rPr>
        <w:t xml:space="preserve"> </w:t>
      </w:r>
    </w:p>
    <w:sectPr w:rsidR="003A7CED" w:rsidRPr="001251B5" w:rsidSect="002E3E40">
      <w:footerReference w:type="even" r:id="rId13"/>
      <w:footerReference w:type="default" r:id="rId14"/>
      <w:pgSz w:w="12240" w:h="15840"/>
      <w:pgMar w:top="1224"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4A4D3" w14:textId="77777777" w:rsidR="00530755" w:rsidRDefault="00530755" w:rsidP="00593FA0">
      <w:r>
        <w:separator/>
      </w:r>
    </w:p>
  </w:endnote>
  <w:endnote w:type="continuationSeparator" w:id="0">
    <w:p w14:paraId="09A100C6" w14:textId="77777777" w:rsidR="00530755" w:rsidRDefault="00530755" w:rsidP="0059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6EB3" w14:textId="77777777" w:rsidR="00530755" w:rsidRDefault="00530755" w:rsidP="00530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7043D" w14:textId="77777777" w:rsidR="00530755" w:rsidRDefault="00530755" w:rsidP="00DD2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ACAE" w14:textId="77777777" w:rsidR="00530755" w:rsidRPr="00DD2147" w:rsidRDefault="00530755" w:rsidP="00530755">
    <w:pPr>
      <w:pStyle w:val="Footer"/>
      <w:framePr w:wrap="around" w:vAnchor="text" w:hAnchor="margin" w:xAlign="right" w:y="1"/>
      <w:rPr>
        <w:rStyle w:val="PageNumber"/>
        <w:rFonts w:ascii="Garamond" w:hAnsi="Garamond"/>
        <w:sz w:val="22"/>
        <w:szCs w:val="22"/>
      </w:rPr>
    </w:pPr>
    <w:r w:rsidRPr="00DD2147">
      <w:rPr>
        <w:rStyle w:val="PageNumber"/>
        <w:rFonts w:ascii="Garamond" w:hAnsi="Garamond"/>
        <w:sz w:val="22"/>
        <w:szCs w:val="22"/>
      </w:rPr>
      <w:fldChar w:fldCharType="begin"/>
    </w:r>
    <w:r w:rsidRPr="00DD2147">
      <w:rPr>
        <w:rStyle w:val="PageNumber"/>
        <w:rFonts w:ascii="Garamond" w:hAnsi="Garamond"/>
        <w:sz w:val="22"/>
        <w:szCs w:val="22"/>
      </w:rPr>
      <w:instrText xml:space="preserve">PAGE  </w:instrText>
    </w:r>
    <w:r w:rsidRPr="00DD2147">
      <w:rPr>
        <w:rStyle w:val="PageNumber"/>
        <w:rFonts w:ascii="Garamond" w:hAnsi="Garamond"/>
        <w:sz w:val="22"/>
        <w:szCs w:val="22"/>
      </w:rPr>
      <w:fldChar w:fldCharType="separate"/>
    </w:r>
    <w:r w:rsidR="00E21006">
      <w:rPr>
        <w:rStyle w:val="PageNumber"/>
        <w:rFonts w:ascii="Garamond" w:hAnsi="Garamond"/>
        <w:noProof/>
        <w:sz w:val="22"/>
        <w:szCs w:val="22"/>
      </w:rPr>
      <w:t>2</w:t>
    </w:r>
    <w:r w:rsidRPr="00DD2147">
      <w:rPr>
        <w:rStyle w:val="PageNumber"/>
        <w:rFonts w:ascii="Garamond" w:hAnsi="Garamond"/>
        <w:sz w:val="22"/>
        <w:szCs w:val="22"/>
      </w:rPr>
      <w:fldChar w:fldCharType="end"/>
    </w:r>
  </w:p>
  <w:p w14:paraId="6A17DBAF" w14:textId="77777777" w:rsidR="00530755" w:rsidRDefault="00530755" w:rsidP="00DD21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3E85" w14:textId="77777777" w:rsidR="00530755" w:rsidRDefault="00530755" w:rsidP="00593FA0">
      <w:r>
        <w:separator/>
      </w:r>
    </w:p>
  </w:footnote>
  <w:footnote w:type="continuationSeparator" w:id="0">
    <w:p w14:paraId="3BE708B9" w14:textId="77777777" w:rsidR="00530755" w:rsidRDefault="00530755" w:rsidP="00593FA0">
      <w:r>
        <w:continuationSeparator/>
      </w:r>
    </w:p>
  </w:footnote>
  <w:footnote w:id="1">
    <w:p w14:paraId="685E77F8" w14:textId="0B2D4E99" w:rsidR="0037683B" w:rsidRPr="0037683B" w:rsidRDefault="0037683B" w:rsidP="0037683B">
      <w:pPr>
        <w:ind w:left="144" w:right="-432"/>
        <w:rPr>
          <w:rFonts w:ascii="Garamond" w:hAnsi="Garamond"/>
          <w:sz w:val="22"/>
          <w:szCs w:val="22"/>
        </w:rPr>
      </w:pPr>
      <w:r w:rsidRPr="0037683B">
        <w:rPr>
          <w:rStyle w:val="FootnoteReference"/>
          <w:rFonts w:ascii="Garamond" w:hAnsi="Garamond"/>
          <w:sz w:val="22"/>
          <w:szCs w:val="22"/>
        </w:rPr>
        <w:footnoteRef/>
      </w:r>
      <w:r w:rsidRPr="0037683B">
        <w:rPr>
          <w:rFonts w:ascii="Garamond" w:hAnsi="Garamond"/>
          <w:bCs/>
          <w:sz w:val="22"/>
          <w:szCs w:val="22"/>
        </w:rPr>
        <w:t xml:space="preserve">Arthur Applebee. 1996. </w:t>
      </w:r>
      <w:r w:rsidRPr="0037683B">
        <w:rPr>
          <w:rFonts w:ascii="Garamond" w:hAnsi="Garamond"/>
          <w:bCs/>
          <w:i/>
          <w:sz w:val="22"/>
          <w:szCs w:val="22"/>
        </w:rPr>
        <w:t>Curriculum as Conversation</w:t>
      </w:r>
      <w:r w:rsidRPr="0037683B">
        <w:rPr>
          <w:rFonts w:ascii="Garamond" w:hAnsi="Garamond"/>
          <w:bCs/>
          <w:sz w:val="22"/>
          <w:szCs w:val="22"/>
        </w:rPr>
        <w:t xml:space="preserve">. (Chicago, IL: University of Chicago, 1996), p. </w:t>
      </w:r>
      <w:r w:rsidRPr="0037683B">
        <w:rPr>
          <w:rFonts w:ascii="Garamond" w:hAnsi="Garamond"/>
          <w:sz w:val="22"/>
          <w:szCs w:val="22"/>
        </w:rPr>
        <w:t xml:space="preserve">62 </w:t>
      </w:r>
    </w:p>
    <w:p w14:paraId="661CD252" w14:textId="50B91B70" w:rsidR="0037683B" w:rsidRDefault="0037683B">
      <w:pPr>
        <w:pStyle w:val="FootnoteText"/>
      </w:pPr>
    </w:p>
  </w:footnote>
  <w:footnote w:id="2">
    <w:p w14:paraId="2AC8B1DA" w14:textId="4CD648EC" w:rsidR="00530755" w:rsidRDefault="00530755" w:rsidP="00C7163A">
      <w:r w:rsidRPr="00593FA0">
        <w:rPr>
          <w:rStyle w:val="FootnoteReference"/>
          <w:rFonts w:ascii="Garamond" w:hAnsi="Garamond"/>
          <w:sz w:val="22"/>
          <w:szCs w:val="22"/>
        </w:rPr>
        <w:footnoteRef/>
      </w:r>
      <w:r w:rsidRPr="00593FA0">
        <w:rPr>
          <w:rFonts w:ascii="Garamond" w:hAnsi="Garamond"/>
          <w:sz w:val="22"/>
          <w:szCs w:val="22"/>
        </w:rPr>
        <w:t xml:space="preserve">Adapted from David Kolb. </w:t>
      </w:r>
      <w:r w:rsidRPr="00593FA0">
        <w:rPr>
          <w:rFonts w:ascii="Garamond" w:hAnsi="Garamond"/>
          <w:i/>
          <w:sz w:val="22"/>
          <w:szCs w:val="22"/>
        </w:rPr>
        <w:t>Experiential Learning: Experience as the Source of Learning and Development</w:t>
      </w:r>
      <w:r w:rsidRPr="00593FA0">
        <w:rPr>
          <w:rFonts w:ascii="Garamond" w:hAnsi="Garamond"/>
          <w:sz w:val="22"/>
          <w:szCs w:val="22"/>
        </w:rPr>
        <w:t>. New Jersey: Prentice-Hall, 1984</w:t>
      </w:r>
      <w:r>
        <w:rPr>
          <w:rFonts w:ascii="Garamond" w:hAnsi="Garamond"/>
          <w:sz w:val="22"/>
          <w:szCs w:val="22"/>
        </w:rPr>
        <w:t>. More complete description is available at the Colloquium website.</w:t>
      </w:r>
    </w:p>
  </w:footnote>
  <w:footnote w:id="3">
    <w:p w14:paraId="187312EF" w14:textId="353351C8" w:rsidR="00530755" w:rsidRPr="00451CCA" w:rsidRDefault="00530755" w:rsidP="000950CE">
      <w:pPr>
        <w:pStyle w:val="NormalWeb"/>
        <w:spacing w:before="0" w:beforeAutospacing="0" w:after="0" w:afterAutospacing="0"/>
        <w:rPr>
          <w:rFonts w:ascii="Garamond" w:hAnsi="Garamond"/>
          <w:sz w:val="22"/>
          <w:szCs w:val="22"/>
        </w:rPr>
      </w:pPr>
      <w:r w:rsidRPr="00451CCA">
        <w:rPr>
          <w:rStyle w:val="FootnoteReference"/>
          <w:rFonts w:ascii="Garamond" w:hAnsi="Garamond"/>
          <w:sz w:val="22"/>
          <w:szCs w:val="22"/>
        </w:rPr>
        <w:footnoteRef/>
      </w:r>
      <w:r w:rsidRPr="00451CCA">
        <w:rPr>
          <w:rFonts w:ascii="Garamond" w:hAnsi="Garamond"/>
          <w:sz w:val="22"/>
          <w:szCs w:val="22"/>
        </w:rPr>
        <w:t xml:space="preserve"> Benjamin S. Bloom. </w:t>
      </w:r>
      <w:r w:rsidRPr="00451CCA">
        <w:rPr>
          <w:rFonts w:ascii="Garamond" w:hAnsi="Garamond"/>
          <w:i/>
          <w:iCs/>
          <w:sz w:val="22"/>
          <w:szCs w:val="22"/>
        </w:rPr>
        <w:t>Taxonomy of Educational Objectives, Handbook I: The Cognitive Domain.</w:t>
      </w:r>
      <w:r w:rsidRPr="00451CCA">
        <w:rPr>
          <w:rFonts w:ascii="Garamond" w:hAnsi="Garamond"/>
          <w:sz w:val="22"/>
          <w:szCs w:val="22"/>
        </w:rPr>
        <w:t xml:space="preserve"> (New York: David McKay, 1956)</w:t>
      </w:r>
      <w:proofErr w:type="gramStart"/>
      <w:r w:rsidRPr="00451CCA">
        <w:rPr>
          <w:rFonts w:ascii="Garamond" w:hAnsi="Garamond"/>
          <w:sz w:val="22"/>
          <w:szCs w:val="22"/>
        </w:rPr>
        <w:t xml:space="preserve">; David R. </w:t>
      </w:r>
      <w:proofErr w:type="spellStart"/>
      <w:r w:rsidRPr="00451CCA">
        <w:rPr>
          <w:rFonts w:ascii="Garamond" w:hAnsi="Garamond"/>
          <w:sz w:val="22"/>
          <w:szCs w:val="22"/>
        </w:rPr>
        <w:t>Krathwohl</w:t>
      </w:r>
      <w:proofErr w:type="spellEnd"/>
      <w:r w:rsidRPr="00451CCA">
        <w:rPr>
          <w:rFonts w:ascii="Garamond" w:hAnsi="Garamond"/>
          <w:sz w:val="22"/>
          <w:szCs w:val="22"/>
        </w:rPr>
        <w:t xml:space="preserve"> and Benjamin S. Bloom and Bertram B. </w:t>
      </w:r>
      <w:proofErr w:type="spellStart"/>
      <w:r w:rsidRPr="00451CCA">
        <w:rPr>
          <w:rFonts w:ascii="Garamond" w:hAnsi="Garamond"/>
          <w:sz w:val="22"/>
          <w:szCs w:val="22"/>
        </w:rPr>
        <w:t>Masia</w:t>
      </w:r>
      <w:proofErr w:type="spellEnd"/>
      <w:r w:rsidRPr="00451CCA">
        <w:rPr>
          <w:rFonts w:ascii="Garamond" w:hAnsi="Garamond"/>
          <w:sz w:val="22"/>
          <w:szCs w:val="22"/>
        </w:rPr>
        <w:t>.</w:t>
      </w:r>
      <w:proofErr w:type="gramEnd"/>
      <w:r w:rsidRPr="00451CCA">
        <w:rPr>
          <w:rFonts w:ascii="Garamond" w:hAnsi="Garamond"/>
          <w:sz w:val="22"/>
          <w:szCs w:val="22"/>
        </w:rPr>
        <w:t xml:space="preserve"> </w:t>
      </w:r>
      <w:proofErr w:type="gramStart"/>
      <w:r w:rsidRPr="00451CCA">
        <w:rPr>
          <w:rFonts w:ascii="Garamond" w:hAnsi="Garamond"/>
          <w:i/>
          <w:iCs/>
          <w:sz w:val="22"/>
          <w:szCs w:val="22"/>
        </w:rPr>
        <w:t>Taxonomy of Educational Objectives, the Classification of Educational Goals.</w:t>
      </w:r>
      <w:proofErr w:type="gramEnd"/>
      <w:r w:rsidRPr="00451CCA">
        <w:rPr>
          <w:rFonts w:ascii="Garamond" w:hAnsi="Garamond"/>
          <w:i/>
          <w:iCs/>
          <w:sz w:val="22"/>
          <w:szCs w:val="22"/>
        </w:rPr>
        <w:t xml:space="preserve"> Handbook II: Affective Domain.</w:t>
      </w:r>
      <w:r w:rsidRPr="00451CCA">
        <w:rPr>
          <w:rFonts w:ascii="Garamond" w:hAnsi="Garamond"/>
          <w:sz w:val="22"/>
          <w:szCs w:val="22"/>
        </w:rPr>
        <w:t xml:space="preserve"> (New York: David McKay, 1973)</w:t>
      </w:r>
      <w:proofErr w:type="gramStart"/>
      <w:r w:rsidRPr="00451CCA">
        <w:rPr>
          <w:rFonts w:ascii="Garamond" w:hAnsi="Garamond"/>
          <w:sz w:val="22"/>
          <w:szCs w:val="22"/>
        </w:rPr>
        <w:t>; E. J. Simpson.</w:t>
      </w:r>
      <w:proofErr w:type="gramEnd"/>
      <w:r w:rsidRPr="00451CCA">
        <w:rPr>
          <w:rFonts w:ascii="Garamond" w:hAnsi="Garamond"/>
          <w:sz w:val="22"/>
          <w:szCs w:val="22"/>
        </w:rPr>
        <w:t xml:space="preserve"> </w:t>
      </w:r>
      <w:proofErr w:type="gramStart"/>
      <w:r w:rsidRPr="00451CCA">
        <w:rPr>
          <w:rFonts w:ascii="Garamond" w:hAnsi="Garamond"/>
          <w:i/>
          <w:iCs/>
          <w:sz w:val="22"/>
          <w:szCs w:val="22"/>
        </w:rPr>
        <w:t>The Classification of Educational Objectives in the Psychomotor Domain.</w:t>
      </w:r>
      <w:proofErr w:type="gramEnd"/>
      <w:r w:rsidRPr="00451CCA">
        <w:rPr>
          <w:rFonts w:ascii="Garamond" w:hAnsi="Garamond"/>
          <w:sz w:val="22"/>
          <w:szCs w:val="22"/>
        </w:rPr>
        <w:t xml:space="preserve"> </w:t>
      </w:r>
      <w:proofErr w:type="gramStart"/>
      <w:r w:rsidRPr="00451CCA">
        <w:rPr>
          <w:rFonts w:ascii="Garamond" w:hAnsi="Garamond"/>
          <w:sz w:val="22"/>
          <w:szCs w:val="22"/>
        </w:rPr>
        <w:t xml:space="preserve">(Washington, DC: </w:t>
      </w:r>
      <w:proofErr w:type="spellStart"/>
      <w:r w:rsidRPr="00451CCA">
        <w:rPr>
          <w:rFonts w:ascii="Garamond" w:hAnsi="Garamond"/>
          <w:sz w:val="22"/>
          <w:szCs w:val="22"/>
        </w:rPr>
        <w:t>Gryphon</w:t>
      </w:r>
      <w:proofErr w:type="spellEnd"/>
      <w:r w:rsidRPr="00451CCA">
        <w:rPr>
          <w:rFonts w:ascii="Garamond" w:hAnsi="Garamond"/>
          <w:sz w:val="22"/>
          <w:szCs w:val="22"/>
        </w:rPr>
        <w:t xml:space="preserve"> House, 1972)</w:t>
      </w:r>
      <w:r>
        <w:rPr>
          <w:rFonts w:ascii="Garamond" w:hAnsi="Garamond"/>
          <w:sz w:val="22"/>
          <w:szCs w:val="22"/>
        </w:rPr>
        <w:t>.</w:t>
      </w:r>
      <w:proofErr w:type="gramEnd"/>
      <w:r>
        <w:rPr>
          <w:rFonts w:ascii="Garamond" w:hAnsi="Garamond"/>
          <w:sz w:val="22"/>
          <w:szCs w:val="22"/>
        </w:rPr>
        <w:t xml:space="preserve"> </w:t>
      </w:r>
      <w:r w:rsidRPr="00451CCA">
        <w:rPr>
          <w:rFonts w:ascii="Garamond" w:hAnsi="Garamond"/>
          <w:sz w:val="22"/>
          <w:szCs w:val="22"/>
        </w:rPr>
        <w:t xml:space="preserve"> </w:t>
      </w:r>
    </w:p>
  </w:footnote>
  <w:footnote w:id="4">
    <w:p w14:paraId="2DED9C59" w14:textId="081B911A" w:rsidR="00530755" w:rsidRPr="00451CCA" w:rsidRDefault="00530755">
      <w:pPr>
        <w:pStyle w:val="FootnoteText"/>
        <w:rPr>
          <w:rFonts w:ascii="Garamond" w:hAnsi="Garamond"/>
          <w:sz w:val="22"/>
          <w:szCs w:val="22"/>
        </w:rPr>
      </w:pPr>
      <w:r w:rsidRPr="00451CCA">
        <w:rPr>
          <w:rStyle w:val="FootnoteReference"/>
          <w:rFonts w:ascii="Garamond" w:hAnsi="Garamond"/>
          <w:sz w:val="22"/>
          <w:szCs w:val="22"/>
        </w:rPr>
        <w:footnoteRef/>
      </w:r>
      <w:r w:rsidRPr="00451CCA">
        <w:rPr>
          <w:rFonts w:ascii="Garamond" w:hAnsi="Garamond"/>
          <w:sz w:val="22"/>
          <w:szCs w:val="22"/>
        </w:rPr>
        <w:t xml:space="preserve"> </w:t>
      </w:r>
      <w:r w:rsidRPr="00451CCA">
        <w:rPr>
          <w:rFonts w:ascii="Garamond" w:hAnsi="Garamond"/>
          <w:bCs/>
          <w:sz w:val="22"/>
          <w:szCs w:val="22"/>
        </w:rPr>
        <w:t xml:space="preserve">Perhaps most useful are the </w:t>
      </w:r>
      <w:r>
        <w:rPr>
          <w:rFonts w:ascii="Garamond" w:hAnsi="Garamond"/>
          <w:bCs/>
          <w:sz w:val="22"/>
          <w:szCs w:val="22"/>
        </w:rPr>
        <w:t xml:space="preserve">charts of verbs and questions </w:t>
      </w:r>
      <w:r w:rsidRPr="00451CCA">
        <w:rPr>
          <w:rFonts w:ascii="Garamond" w:hAnsi="Garamond"/>
          <w:bCs/>
          <w:sz w:val="22"/>
          <w:szCs w:val="22"/>
        </w:rPr>
        <w:t>aligned with each stage</w:t>
      </w:r>
      <w:r>
        <w:rPr>
          <w:rFonts w:ascii="Garamond" w:hAnsi="Garamond"/>
          <w:bCs/>
          <w:sz w:val="22"/>
          <w:szCs w:val="22"/>
        </w:rPr>
        <w:t>. E</w:t>
      </w:r>
      <w:r w:rsidRPr="00451CCA">
        <w:rPr>
          <w:rFonts w:ascii="Garamond" w:hAnsi="Garamond"/>
          <w:bCs/>
          <w:sz w:val="22"/>
          <w:szCs w:val="22"/>
        </w:rPr>
        <w:t>xample</w:t>
      </w:r>
      <w:r>
        <w:rPr>
          <w:rFonts w:ascii="Garamond" w:hAnsi="Garamond"/>
          <w:bCs/>
          <w:sz w:val="22"/>
          <w:szCs w:val="22"/>
        </w:rPr>
        <w:t>s are</w:t>
      </w:r>
      <w:r w:rsidRPr="00451CCA">
        <w:rPr>
          <w:rFonts w:ascii="Garamond" w:hAnsi="Garamond"/>
          <w:bCs/>
          <w:sz w:val="22"/>
          <w:szCs w:val="22"/>
        </w:rPr>
        <w:t xml:space="preserve"> available at the Colloquium website.</w:t>
      </w:r>
    </w:p>
  </w:footnote>
  <w:footnote w:id="5">
    <w:p w14:paraId="3987320A" w14:textId="1116B3B0" w:rsidR="00530755" w:rsidRPr="00560CD2" w:rsidRDefault="00530755">
      <w:pPr>
        <w:pStyle w:val="FootnoteText"/>
        <w:rPr>
          <w:rFonts w:ascii="Garamond" w:hAnsi="Garamond"/>
          <w:sz w:val="22"/>
          <w:szCs w:val="22"/>
        </w:rPr>
      </w:pPr>
      <w:r w:rsidRPr="00560CD2">
        <w:rPr>
          <w:rStyle w:val="FootnoteReference"/>
          <w:rFonts w:ascii="Garamond" w:hAnsi="Garamond"/>
          <w:sz w:val="22"/>
          <w:szCs w:val="22"/>
        </w:rPr>
        <w:footnoteRef/>
      </w:r>
      <w:r w:rsidRPr="00560CD2">
        <w:rPr>
          <w:rFonts w:ascii="Garamond" w:hAnsi="Garamond"/>
          <w:sz w:val="22"/>
          <w:szCs w:val="22"/>
        </w:rPr>
        <w:t xml:space="preserve"> </w:t>
      </w:r>
      <w:proofErr w:type="spellStart"/>
      <w:r w:rsidRPr="00560CD2">
        <w:rPr>
          <w:rFonts w:ascii="Garamond" w:hAnsi="Garamond"/>
          <w:sz w:val="22"/>
          <w:szCs w:val="22"/>
        </w:rPr>
        <w:t>Lorin</w:t>
      </w:r>
      <w:proofErr w:type="spellEnd"/>
      <w:r w:rsidRPr="00560CD2">
        <w:rPr>
          <w:rFonts w:ascii="Garamond" w:hAnsi="Garamond"/>
          <w:sz w:val="22"/>
          <w:szCs w:val="22"/>
        </w:rPr>
        <w:t xml:space="preserve"> W. A</w:t>
      </w:r>
      <w:r w:rsidRPr="00560CD2">
        <w:rPr>
          <w:rFonts w:ascii="Garamond" w:eastAsia="Times New Roman" w:hAnsi="Garamond" w:cs="Times New Roman"/>
          <w:sz w:val="22"/>
          <w:szCs w:val="22"/>
        </w:rPr>
        <w:t xml:space="preserve">nderson, and David </w:t>
      </w:r>
      <w:r>
        <w:rPr>
          <w:rFonts w:ascii="Garamond" w:eastAsia="Times New Roman" w:hAnsi="Garamond" w:cs="Times New Roman"/>
          <w:sz w:val="22"/>
          <w:szCs w:val="22"/>
        </w:rPr>
        <w:t xml:space="preserve">R. </w:t>
      </w:r>
      <w:proofErr w:type="spellStart"/>
      <w:r>
        <w:rPr>
          <w:rFonts w:ascii="Garamond" w:eastAsia="Times New Roman" w:hAnsi="Garamond" w:cs="Times New Roman"/>
          <w:sz w:val="22"/>
          <w:szCs w:val="22"/>
        </w:rPr>
        <w:t>Krathwohl</w:t>
      </w:r>
      <w:proofErr w:type="spellEnd"/>
      <w:r>
        <w:rPr>
          <w:rFonts w:ascii="Garamond" w:eastAsia="Times New Roman" w:hAnsi="Garamond" w:cs="Times New Roman"/>
          <w:sz w:val="22"/>
          <w:szCs w:val="22"/>
        </w:rPr>
        <w:t>, et al</w:t>
      </w:r>
      <w:proofErr w:type="gramStart"/>
      <w:r>
        <w:rPr>
          <w:rFonts w:ascii="Garamond" w:eastAsia="Times New Roman" w:hAnsi="Garamond" w:cs="Times New Roman"/>
          <w:sz w:val="22"/>
          <w:szCs w:val="22"/>
        </w:rPr>
        <w:t>.</w:t>
      </w:r>
      <w:r w:rsidRPr="00560CD2">
        <w:rPr>
          <w:rFonts w:ascii="Garamond" w:eastAsia="Times New Roman" w:hAnsi="Garamond" w:cs="Times New Roman"/>
          <w:sz w:val="22"/>
          <w:szCs w:val="22"/>
        </w:rPr>
        <w:t>.</w:t>
      </w:r>
      <w:proofErr w:type="gramEnd"/>
      <w:r w:rsidRPr="00560CD2">
        <w:rPr>
          <w:rFonts w:ascii="Garamond" w:eastAsia="Times New Roman" w:hAnsi="Garamond" w:cs="Times New Roman"/>
          <w:sz w:val="22"/>
          <w:szCs w:val="22"/>
        </w:rPr>
        <w:t xml:space="preserve"> </w:t>
      </w:r>
      <w:proofErr w:type="gramStart"/>
      <w:r w:rsidRPr="00560CD2">
        <w:rPr>
          <w:rFonts w:ascii="Garamond" w:eastAsia="Times New Roman" w:hAnsi="Garamond" w:cs="Times New Roman"/>
          <w:i/>
          <w:sz w:val="22"/>
          <w:szCs w:val="22"/>
        </w:rPr>
        <w:t>A Taxonomy</w:t>
      </w:r>
      <w:proofErr w:type="gramEnd"/>
      <w:r w:rsidRPr="00560CD2">
        <w:rPr>
          <w:rFonts w:ascii="Garamond" w:eastAsia="Times New Roman" w:hAnsi="Garamond" w:cs="Times New Roman"/>
          <w:i/>
          <w:sz w:val="22"/>
          <w:szCs w:val="22"/>
        </w:rPr>
        <w:t xml:space="preserve"> for Learning, Teaching, and Assessing: A Revision of Bloom’s Taxonomy of Educational Objectives</w:t>
      </w:r>
      <w:r w:rsidRPr="00560CD2">
        <w:rPr>
          <w:rFonts w:ascii="Garamond" w:eastAsia="Times New Roman" w:hAnsi="Garamond" w:cs="Times New Roman"/>
          <w:sz w:val="22"/>
          <w:szCs w:val="22"/>
        </w:rPr>
        <w:t>. New York: Longman, 2001</w:t>
      </w:r>
    </w:p>
  </w:footnote>
  <w:footnote w:id="6">
    <w:p w14:paraId="6FFD8D41" w14:textId="7CFFC98B" w:rsidR="00530755" w:rsidRPr="00451CCA" w:rsidRDefault="00530755">
      <w:pPr>
        <w:pStyle w:val="FootnoteText"/>
        <w:rPr>
          <w:rFonts w:ascii="Garamond" w:hAnsi="Garamond"/>
          <w:sz w:val="22"/>
          <w:szCs w:val="22"/>
        </w:rPr>
      </w:pPr>
      <w:r w:rsidRPr="00451CCA">
        <w:rPr>
          <w:rStyle w:val="FootnoteReference"/>
          <w:rFonts w:ascii="Garamond" w:hAnsi="Garamond"/>
          <w:sz w:val="22"/>
          <w:szCs w:val="22"/>
        </w:rPr>
        <w:footnoteRef/>
      </w:r>
      <w:r w:rsidRPr="00451CCA">
        <w:rPr>
          <w:rFonts w:ascii="Garamond" w:hAnsi="Garamond"/>
          <w:sz w:val="22"/>
          <w:szCs w:val="22"/>
        </w:rPr>
        <w:t xml:space="preserve"> </w:t>
      </w:r>
      <w:r w:rsidRPr="00451CCA">
        <w:rPr>
          <w:rFonts w:ascii="Garamond" w:eastAsia="Times New Roman" w:hAnsi="Garamond" w:cs="Times New Roman"/>
          <w:sz w:val="22"/>
          <w:szCs w:val="22"/>
        </w:rPr>
        <w:t xml:space="preserve">Bruce R. Joyce, Marsha Weil, and Emily Calhoun. </w:t>
      </w:r>
      <w:r w:rsidRPr="00451CCA">
        <w:rPr>
          <w:rFonts w:ascii="Garamond" w:eastAsia="Times New Roman" w:hAnsi="Garamond" w:cs="Times New Roman"/>
          <w:i/>
          <w:sz w:val="22"/>
          <w:szCs w:val="22"/>
        </w:rPr>
        <w:t>Models of Teaching</w:t>
      </w:r>
      <w:r w:rsidRPr="00451CCA">
        <w:rPr>
          <w:rFonts w:ascii="Garamond" w:eastAsia="Times New Roman" w:hAnsi="Garamond" w:cs="Times New Roman"/>
          <w:sz w:val="22"/>
          <w:szCs w:val="22"/>
        </w:rPr>
        <w:t xml:space="preserve">, 9th [and latest] </w:t>
      </w:r>
      <w:r w:rsidRPr="00451CCA">
        <w:rPr>
          <w:rFonts w:ascii="Garamond" w:eastAsia="Times New Roman" w:hAnsi="Garamond" w:cs="Times New Roman"/>
          <w:b/>
          <w:sz w:val="22"/>
          <w:szCs w:val="22"/>
        </w:rPr>
        <w:t>e</w:t>
      </w:r>
      <w:r w:rsidRPr="00451CCA">
        <w:rPr>
          <w:rFonts w:ascii="Garamond" w:eastAsia="Times New Roman" w:hAnsi="Garamond" w:cs="Times New Roman"/>
          <w:sz w:val="22"/>
          <w:szCs w:val="22"/>
        </w:rPr>
        <w:t>dition. (Buffalo Grove, IL: Pearson,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EC4"/>
    <w:multiLevelType w:val="hybridMultilevel"/>
    <w:tmpl w:val="8F68066C"/>
    <w:lvl w:ilvl="0" w:tplc="F72E3DC8">
      <w:start w:val="1"/>
      <w:numFmt w:val="bullet"/>
      <w:lvlText w:val=""/>
      <w:lvlJc w:val="left"/>
      <w:pPr>
        <w:ind w:left="576"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4758A"/>
    <w:multiLevelType w:val="hybridMultilevel"/>
    <w:tmpl w:val="2416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21DA5"/>
    <w:multiLevelType w:val="hybridMultilevel"/>
    <w:tmpl w:val="CEA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1783"/>
    <w:multiLevelType w:val="hybridMultilevel"/>
    <w:tmpl w:val="4DA62BCA"/>
    <w:lvl w:ilvl="0" w:tplc="6778FFC0">
      <w:start w:val="1"/>
      <w:numFmt w:val="bullet"/>
      <w:lvlText w:val=""/>
      <w:lvlJc w:val="left"/>
      <w:pPr>
        <w:ind w:left="576" w:hanging="72"/>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E6E3CC9"/>
    <w:multiLevelType w:val="hybridMultilevel"/>
    <w:tmpl w:val="4C60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06FE7"/>
    <w:multiLevelType w:val="hybridMultilevel"/>
    <w:tmpl w:val="A07C5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F2DBB"/>
    <w:multiLevelType w:val="multilevel"/>
    <w:tmpl w:val="750825BE"/>
    <w:lvl w:ilvl="0">
      <w:start w:val="1"/>
      <w:numFmt w:val="bullet"/>
      <w:lvlText w:val=""/>
      <w:lvlJc w:val="left"/>
      <w:pPr>
        <w:ind w:left="1206" w:hanging="72"/>
      </w:pPr>
      <w:rPr>
        <w:rFonts w:ascii="Symbol" w:hAnsi="Symbol"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7">
    <w:nsid w:val="1A99060F"/>
    <w:multiLevelType w:val="hybridMultilevel"/>
    <w:tmpl w:val="3E04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42003"/>
    <w:multiLevelType w:val="hybridMultilevel"/>
    <w:tmpl w:val="86A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50613"/>
    <w:multiLevelType w:val="hybridMultilevel"/>
    <w:tmpl w:val="5CF825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52FA0"/>
    <w:multiLevelType w:val="hybridMultilevel"/>
    <w:tmpl w:val="750825BE"/>
    <w:lvl w:ilvl="0" w:tplc="F72E3DC8">
      <w:start w:val="1"/>
      <w:numFmt w:val="bullet"/>
      <w:lvlText w:val=""/>
      <w:lvlJc w:val="left"/>
      <w:pPr>
        <w:ind w:left="1206" w:hanging="72"/>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2077D79"/>
    <w:multiLevelType w:val="hybridMultilevel"/>
    <w:tmpl w:val="C78AA0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65E8B"/>
    <w:multiLevelType w:val="hybridMultilevel"/>
    <w:tmpl w:val="6A7C9400"/>
    <w:lvl w:ilvl="0" w:tplc="F72E3DC8">
      <w:start w:val="1"/>
      <w:numFmt w:val="bullet"/>
      <w:lvlText w:val=""/>
      <w:lvlJc w:val="left"/>
      <w:pPr>
        <w:ind w:left="576"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D7105"/>
    <w:multiLevelType w:val="hybridMultilevel"/>
    <w:tmpl w:val="2C8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7237AF"/>
    <w:multiLevelType w:val="multilevel"/>
    <w:tmpl w:val="39BA1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9946CE"/>
    <w:multiLevelType w:val="hybridMultilevel"/>
    <w:tmpl w:val="027E1B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D82460"/>
    <w:multiLevelType w:val="hybridMultilevel"/>
    <w:tmpl w:val="39B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259F0"/>
    <w:multiLevelType w:val="hybridMultilevel"/>
    <w:tmpl w:val="0B0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D233D"/>
    <w:multiLevelType w:val="hybridMultilevel"/>
    <w:tmpl w:val="4CFE32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6D7C1B"/>
    <w:multiLevelType w:val="hybridMultilevel"/>
    <w:tmpl w:val="EA9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51664"/>
    <w:multiLevelType w:val="hybridMultilevel"/>
    <w:tmpl w:val="38D0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B611FC"/>
    <w:multiLevelType w:val="multilevel"/>
    <w:tmpl w:val="0B0E8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B343B9F"/>
    <w:multiLevelType w:val="hybridMultilevel"/>
    <w:tmpl w:val="291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15"/>
  </w:num>
  <w:num w:numId="5">
    <w:abstractNumId w:val="16"/>
  </w:num>
  <w:num w:numId="6">
    <w:abstractNumId w:val="17"/>
  </w:num>
  <w:num w:numId="7">
    <w:abstractNumId w:val="4"/>
  </w:num>
  <w:num w:numId="8">
    <w:abstractNumId w:val="2"/>
  </w:num>
  <w:num w:numId="9">
    <w:abstractNumId w:val="14"/>
  </w:num>
  <w:num w:numId="10">
    <w:abstractNumId w:val="0"/>
  </w:num>
  <w:num w:numId="11">
    <w:abstractNumId w:val="21"/>
  </w:num>
  <w:num w:numId="12">
    <w:abstractNumId w:val="12"/>
  </w:num>
  <w:num w:numId="13">
    <w:abstractNumId w:val="10"/>
  </w:num>
  <w:num w:numId="14">
    <w:abstractNumId w:val="6"/>
  </w:num>
  <w:num w:numId="15">
    <w:abstractNumId w:val="3"/>
  </w:num>
  <w:num w:numId="16">
    <w:abstractNumId w:val="5"/>
  </w:num>
  <w:num w:numId="17">
    <w:abstractNumId w:val="19"/>
  </w:num>
  <w:num w:numId="18">
    <w:abstractNumId w:val="1"/>
  </w:num>
  <w:num w:numId="19">
    <w:abstractNumId w:val="22"/>
  </w:num>
  <w:num w:numId="20">
    <w:abstractNumId w:val="20"/>
  </w:num>
  <w:num w:numId="21">
    <w:abstractNumId w:val="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8D"/>
    <w:rsid w:val="0000433E"/>
    <w:rsid w:val="000118AE"/>
    <w:rsid w:val="00020553"/>
    <w:rsid w:val="000321EB"/>
    <w:rsid w:val="00061B7F"/>
    <w:rsid w:val="000950CE"/>
    <w:rsid w:val="000C5E1A"/>
    <w:rsid w:val="000F13FB"/>
    <w:rsid w:val="001237FC"/>
    <w:rsid w:val="001251B5"/>
    <w:rsid w:val="001A47AD"/>
    <w:rsid w:val="001C50EB"/>
    <w:rsid w:val="0024489A"/>
    <w:rsid w:val="0029169A"/>
    <w:rsid w:val="002E3E40"/>
    <w:rsid w:val="003439C0"/>
    <w:rsid w:val="00370563"/>
    <w:rsid w:val="0037683B"/>
    <w:rsid w:val="003A7CED"/>
    <w:rsid w:val="003B2EFD"/>
    <w:rsid w:val="00412B0E"/>
    <w:rsid w:val="00433DD9"/>
    <w:rsid w:val="00451CCA"/>
    <w:rsid w:val="004B40D4"/>
    <w:rsid w:val="004C4ACD"/>
    <w:rsid w:val="004E3DC6"/>
    <w:rsid w:val="00530755"/>
    <w:rsid w:val="00556D77"/>
    <w:rsid w:val="00560CD2"/>
    <w:rsid w:val="00593FA0"/>
    <w:rsid w:val="005E4570"/>
    <w:rsid w:val="005F6085"/>
    <w:rsid w:val="0063226F"/>
    <w:rsid w:val="00660609"/>
    <w:rsid w:val="006A2674"/>
    <w:rsid w:val="006F2EF4"/>
    <w:rsid w:val="00761D63"/>
    <w:rsid w:val="007E40EC"/>
    <w:rsid w:val="008802BC"/>
    <w:rsid w:val="0089482E"/>
    <w:rsid w:val="0093498A"/>
    <w:rsid w:val="00944AAD"/>
    <w:rsid w:val="0098008D"/>
    <w:rsid w:val="009F67F3"/>
    <w:rsid w:val="00A14D92"/>
    <w:rsid w:val="00A1665A"/>
    <w:rsid w:val="00A277DC"/>
    <w:rsid w:val="00A31673"/>
    <w:rsid w:val="00A34773"/>
    <w:rsid w:val="00A7493F"/>
    <w:rsid w:val="00B2246E"/>
    <w:rsid w:val="00BE58D9"/>
    <w:rsid w:val="00C071BA"/>
    <w:rsid w:val="00C07CFA"/>
    <w:rsid w:val="00C532DD"/>
    <w:rsid w:val="00C7163A"/>
    <w:rsid w:val="00C87607"/>
    <w:rsid w:val="00C94D21"/>
    <w:rsid w:val="00CC5E6B"/>
    <w:rsid w:val="00CD6D5A"/>
    <w:rsid w:val="00D572E9"/>
    <w:rsid w:val="00DC311A"/>
    <w:rsid w:val="00DD2147"/>
    <w:rsid w:val="00DD37CD"/>
    <w:rsid w:val="00E21006"/>
    <w:rsid w:val="00E51015"/>
    <w:rsid w:val="00E82447"/>
    <w:rsid w:val="00E9138E"/>
    <w:rsid w:val="00F822D5"/>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D1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0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8008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8008D"/>
    <w:rPr>
      <w:rFonts w:ascii="Times" w:hAnsi="Times"/>
      <w:b/>
      <w:bCs/>
      <w:kern w:val="36"/>
      <w:sz w:val="48"/>
      <w:szCs w:val="48"/>
    </w:rPr>
  </w:style>
  <w:style w:type="paragraph" w:customStyle="1" w:styleId="a">
    <w:name w:val=""/>
    <w:rsid w:val="00C87607"/>
    <w:pPr>
      <w:autoSpaceDE w:val="0"/>
      <w:autoSpaceDN w:val="0"/>
      <w:adjustRightInd w:val="0"/>
      <w:ind w:left="720"/>
    </w:pPr>
    <w:rPr>
      <w:rFonts w:eastAsia="Times New Roman" w:cs="Times New Roman"/>
      <w:sz w:val="20"/>
      <w:szCs w:val="24"/>
    </w:rPr>
  </w:style>
  <w:style w:type="paragraph" w:styleId="BalloonText">
    <w:name w:val="Balloon Text"/>
    <w:basedOn w:val="Normal"/>
    <w:link w:val="BalloonTextChar"/>
    <w:uiPriority w:val="99"/>
    <w:semiHidden/>
    <w:unhideWhenUsed/>
    <w:rsid w:val="00412B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B0E"/>
    <w:rPr>
      <w:rFonts w:ascii="Lucida Grande" w:hAnsi="Lucida Grande" w:cs="Lucida Grande"/>
      <w:sz w:val="18"/>
      <w:szCs w:val="18"/>
    </w:rPr>
  </w:style>
  <w:style w:type="paragraph" w:styleId="FootnoteText">
    <w:name w:val="footnote text"/>
    <w:basedOn w:val="Normal"/>
    <w:link w:val="FootnoteTextChar"/>
    <w:uiPriority w:val="99"/>
    <w:unhideWhenUsed/>
    <w:rsid w:val="00593FA0"/>
    <w:rPr>
      <w:sz w:val="24"/>
      <w:szCs w:val="24"/>
    </w:rPr>
  </w:style>
  <w:style w:type="character" w:customStyle="1" w:styleId="FootnoteTextChar">
    <w:name w:val="Footnote Text Char"/>
    <w:basedOn w:val="DefaultParagraphFont"/>
    <w:link w:val="FootnoteText"/>
    <w:uiPriority w:val="99"/>
    <w:rsid w:val="00593FA0"/>
    <w:rPr>
      <w:sz w:val="24"/>
      <w:szCs w:val="24"/>
    </w:rPr>
  </w:style>
  <w:style w:type="character" w:styleId="FootnoteReference">
    <w:name w:val="footnote reference"/>
    <w:basedOn w:val="DefaultParagraphFont"/>
    <w:uiPriority w:val="99"/>
    <w:unhideWhenUsed/>
    <w:rsid w:val="00593FA0"/>
    <w:rPr>
      <w:vertAlign w:val="superscript"/>
    </w:rPr>
  </w:style>
  <w:style w:type="character" w:styleId="Hyperlink">
    <w:name w:val="Hyperlink"/>
    <w:basedOn w:val="DefaultParagraphFont"/>
    <w:uiPriority w:val="99"/>
    <w:unhideWhenUsed/>
    <w:rsid w:val="006A2674"/>
    <w:rPr>
      <w:color w:val="0000FF" w:themeColor="hyperlink"/>
      <w:u w:val="single"/>
    </w:rPr>
  </w:style>
  <w:style w:type="paragraph" w:styleId="ListParagraph">
    <w:name w:val="List Paragraph"/>
    <w:basedOn w:val="Normal"/>
    <w:uiPriority w:val="34"/>
    <w:qFormat/>
    <w:rsid w:val="00A31673"/>
    <w:pPr>
      <w:ind w:left="720"/>
      <w:contextualSpacing/>
    </w:pPr>
  </w:style>
  <w:style w:type="paragraph" w:styleId="Footer">
    <w:name w:val="footer"/>
    <w:basedOn w:val="Normal"/>
    <w:link w:val="FooterChar"/>
    <w:uiPriority w:val="99"/>
    <w:unhideWhenUsed/>
    <w:rsid w:val="00DD2147"/>
    <w:pPr>
      <w:tabs>
        <w:tab w:val="center" w:pos="4320"/>
        <w:tab w:val="right" w:pos="8640"/>
      </w:tabs>
    </w:pPr>
  </w:style>
  <w:style w:type="character" w:customStyle="1" w:styleId="FooterChar">
    <w:name w:val="Footer Char"/>
    <w:basedOn w:val="DefaultParagraphFont"/>
    <w:link w:val="Footer"/>
    <w:uiPriority w:val="99"/>
    <w:rsid w:val="00DD2147"/>
  </w:style>
  <w:style w:type="character" w:styleId="PageNumber">
    <w:name w:val="page number"/>
    <w:basedOn w:val="DefaultParagraphFont"/>
    <w:uiPriority w:val="99"/>
    <w:semiHidden/>
    <w:unhideWhenUsed/>
    <w:rsid w:val="00DD2147"/>
  </w:style>
  <w:style w:type="paragraph" w:styleId="Header">
    <w:name w:val="header"/>
    <w:basedOn w:val="Normal"/>
    <w:link w:val="HeaderChar"/>
    <w:uiPriority w:val="99"/>
    <w:unhideWhenUsed/>
    <w:rsid w:val="00DD2147"/>
    <w:pPr>
      <w:tabs>
        <w:tab w:val="center" w:pos="4320"/>
        <w:tab w:val="right" w:pos="8640"/>
      </w:tabs>
    </w:pPr>
  </w:style>
  <w:style w:type="character" w:customStyle="1" w:styleId="HeaderChar">
    <w:name w:val="Header Char"/>
    <w:basedOn w:val="DefaultParagraphFont"/>
    <w:link w:val="Header"/>
    <w:uiPriority w:val="99"/>
    <w:rsid w:val="00DD2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0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8008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8008D"/>
    <w:rPr>
      <w:rFonts w:ascii="Times" w:hAnsi="Times"/>
      <w:b/>
      <w:bCs/>
      <w:kern w:val="36"/>
      <w:sz w:val="48"/>
      <w:szCs w:val="48"/>
    </w:rPr>
  </w:style>
  <w:style w:type="paragraph" w:customStyle="1" w:styleId="a">
    <w:name w:val=""/>
    <w:rsid w:val="00C87607"/>
    <w:pPr>
      <w:autoSpaceDE w:val="0"/>
      <w:autoSpaceDN w:val="0"/>
      <w:adjustRightInd w:val="0"/>
      <w:ind w:left="720"/>
    </w:pPr>
    <w:rPr>
      <w:rFonts w:eastAsia="Times New Roman" w:cs="Times New Roman"/>
      <w:sz w:val="20"/>
      <w:szCs w:val="24"/>
    </w:rPr>
  </w:style>
  <w:style w:type="paragraph" w:styleId="BalloonText">
    <w:name w:val="Balloon Text"/>
    <w:basedOn w:val="Normal"/>
    <w:link w:val="BalloonTextChar"/>
    <w:uiPriority w:val="99"/>
    <w:semiHidden/>
    <w:unhideWhenUsed/>
    <w:rsid w:val="00412B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B0E"/>
    <w:rPr>
      <w:rFonts w:ascii="Lucida Grande" w:hAnsi="Lucida Grande" w:cs="Lucida Grande"/>
      <w:sz w:val="18"/>
      <w:szCs w:val="18"/>
    </w:rPr>
  </w:style>
  <w:style w:type="paragraph" w:styleId="FootnoteText">
    <w:name w:val="footnote text"/>
    <w:basedOn w:val="Normal"/>
    <w:link w:val="FootnoteTextChar"/>
    <w:uiPriority w:val="99"/>
    <w:unhideWhenUsed/>
    <w:rsid w:val="00593FA0"/>
    <w:rPr>
      <w:sz w:val="24"/>
      <w:szCs w:val="24"/>
    </w:rPr>
  </w:style>
  <w:style w:type="character" w:customStyle="1" w:styleId="FootnoteTextChar">
    <w:name w:val="Footnote Text Char"/>
    <w:basedOn w:val="DefaultParagraphFont"/>
    <w:link w:val="FootnoteText"/>
    <w:uiPriority w:val="99"/>
    <w:rsid w:val="00593FA0"/>
    <w:rPr>
      <w:sz w:val="24"/>
      <w:szCs w:val="24"/>
    </w:rPr>
  </w:style>
  <w:style w:type="character" w:styleId="FootnoteReference">
    <w:name w:val="footnote reference"/>
    <w:basedOn w:val="DefaultParagraphFont"/>
    <w:uiPriority w:val="99"/>
    <w:unhideWhenUsed/>
    <w:rsid w:val="00593FA0"/>
    <w:rPr>
      <w:vertAlign w:val="superscript"/>
    </w:rPr>
  </w:style>
  <w:style w:type="character" w:styleId="Hyperlink">
    <w:name w:val="Hyperlink"/>
    <w:basedOn w:val="DefaultParagraphFont"/>
    <w:uiPriority w:val="99"/>
    <w:unhideWhenUsed/>
    <w:rsid w:val="006A2674"/>
    <w:rPr>
      <w:color w:val="0000FF" w:themeColor="hyperlink"/>
      <w:u w:val="single"/>
    </w:rPr>
  </w:style>
  <w:style w:type="paragraph" w:styleId="ListParagraph">
    <w:name w:val="List Paragraph"/>
    <w:basedOn w:val="Normal"/>
    <w:uiPriority w:val="34"/>
    <w:qFormat/>
    <w:rsid w:val="00A31673"/>
    <w:pPr>
      <w:ind w:left="720"/>
      <w:contextualSpacing/>
    </w:pPr>
  </w:style>
  <w:style w:type="paragraph" w:styleId="Footer">
    <w:name w:val="footer"/>
    <w:basedOn w:val="Normal"/>
    <w:link w:val="FooterChar"/>
    <w:uiPriority w:val="99"/>
    <w:unhideWhenUsed/>
    <w:rsid w:val="00DD2147"/>
    <w:pPr>
      <w:tabs>
        <w:tab w:val="center" w:pos="4320"/>
        <w:tab w:val="right" w:pos="8640"/>
      </w:tabs>
    </w:pPr>
  </w:style>
  <w:style w:type="character" w:customStyle="1" w:styleId="FooterChar">
    <w:name w:val="Footer Char"/>
    <w:basedOn w:val="DefaultParagraphFont"/>
    <w:link w:val="Footer"/>
    <w:uiPriority w:val="99"/>
    <w:rsid w:val="00DD2147"/>
  </w:style>
  <w:style w:type="character" w:styleId="PageNumber">
    <w:name w:val="page number"/>
    <w:basedOn w:val="DefaultParagraphFont"/>
    <w:uiPriority w:val="99"/>
    <w:semiHidden/>
    <w:unhideWhenUsed/>
    <w:rsid w:val="00DD2147"/>
  </w:style>
  <w:style w:type="paragraph" w:styleId="Header">
    <w:name w:val="header"/>
    <w:basedOn w:val="Normal"/>
    <w:link w:val="HeaderChar"/>
    <w:uiPriority w:val="99"/>
    <w:unhideWhenUsed/>
    <w:rsid w:val="00DD2147"/>
    <w:pPr>
      <w:tabs>
        <w:tab w:val="center" w:pos="4320"/>
        <w:tab w:val="right" w:pos="8640"/>
      </w:tabs>
    </w:pPr>
  </w:style>
  <w:style w:type="character" w:customStyle="1" w:styleId="HeaderChar">
    <w:name w:val="Header Char"/>
    <w:basedOn w:val="DefaultParagraphFont"/>
    <w:link w:val="Header"/>
    <w:uiPriority w:val="99"/>
    <w:rsid w:val="00DD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4209">
      <w:bodyDiv w:val="1"/>
      <w:marLeft w:val="0"/>
      <w:marRight w:val="0"/>
      <w:marTop w:val="0"/>
      <w:marBottom w:val="0"/>
      <w:divBdr>
        <w:top w:val="none" w:sz="0" w:space="0" w:color="auto"/>
        <w:left w:val="none" w:sz="0" w:space="0" w:color="auto"/>
        <w:bottom w:val="none" w:sz="0" w:space="0" w:color="auto"/>
        <w:right w:val="none" w:sz="0" w:space="0" w:color="auto"/>
      </w:divBdr>
    </w:div>
    <w:div w:id="1565330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7E0B57-3AEF-4A91-B779-1A484DE49F0A}"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en-US"/>
        </a:p>
      </dgm:t>
    </dgm:pt>
    <dgm:pt modelId="{A8286078-3A9A-4929-959C-EE8FC871BD02}">
      <dgm:prSet phldrT="[Text]"/>
      <dgm:spPr/>
      <dgm:t>
        <a:bodyPr/>
        <a:lstStyle/>
        <a:p>
          <a:r>
            <a:rPr lang="en-US" dirty="0" smtClean="0"/>
            <a:t>Concrete Experience</a:t>
          </a:r>
          <a:endParaRPr lang="en-US" dirty="0"/>
        </a:p>
      </dgm:t>
    </dgm:pt>
    <dgm:pt modelId="{BB49C878-7611-4F2B-9E0C-93BD5601B678}" type="parTrans" cxnId="{F8C43556-6715-46BA-A050-B7C4AEA699F3}">
      <dgm:prSet/>
      <dgm:spPr/>
      <dgm:t>
        <a:bodyPr/>
        <a:lstStyle/>
        <a:p>
          <a:endParaRPr lang="en-US"/>
        </a:p>
      </dgm:t>
    </dgm:pt>
    <dgm:pt modelId="{95E763F7-81AE-41EA-A7C8-D767A9EB21AE}" type="sibTrans" cxnId="{F8C43556-6715-46BA-A050-B7C4AEA699F3}">
      <dgm:prSet/>
      <dgm:spPr/>
      <dgm:t>
        <a:bodyPr/>
        <a:lstStyle/>
        <a:p>
          <a:endParaRPr lang="en-US" dirty="0"/>
        </a:p>
      </dgm:t>
    </dgm:pt>
    <dgm:pt modelId="{49CDD8A2-1285-4110-8B00-BC7EC441770B}">
      <dgm:prSet phldrT="[Text]"/>
      <dgm:spPr/>
      <dgm:t>
        <a:bodyPr/>
        <a:lstStyle/>
        <a:p>
          <a:r>
            <a:rPr lang="en-US" dirty="0" smtClean="0"/>
            <a:t>Reflective Observation</a:t>
          </a:r>
          <a:endParaRPr lang="en-US" dirty="0"/>
        </a:p>
      </dgm:t>
    </dgm:pt>
    <dgm:pt modelId="{558E6EDC-668A-4389-80D2-D004583DADE4}" type="parTrans" cxnId="{0FB6DE45-7949-4437-8AA0-8DEDC27B03AC}">
      <dgm:prSet/>
      <dgm:spPr/>
      <dgm:t>
        <a:bodyPr/>
        <a:lstStyle/>
        <a:p>
          <a:endParaRPr lang="en-US"/>
        </a:p>
      </dgm:t>
    </dgm:pt>
    <dgm:pt modelId="{188455A9-FA8F-4026-8678-B2353941006B}" type="sibTrans" cxnId="{0FB6DE45-7949-4437-8AA0-8DEDC27B03AC}">
      <dgm:prSet/>
      <dgm:spPr/>
      <dgm:t>
        <a:bodyPr/>
        <a:lstStyle/>
        <a:p>
          <a:endParaRPr lang="en-US" dirty="0"/>
        </a:p>
      </dgm:t>
    </dgm:pt>
    <dgm:pt modelId="{B0D6ADCF-82C6-404D-8AE0-512F74D81D16}">
      <dgm:prSet phldrT="[Text]"/>
      <dgm:spPr/>
      <dgm:t>
        <a:bodyPr/>
        <a:lstStyle/>
        <a:p>
          <a:r>
            <a:rPr lang="en-US" dirty="0" smtClean="0"/>
            <a:t>Abstract</a:t>
          </a:r>
        </a:p>
        <a:p>
          <a:r>
            <a:rPr lang="en-US" dirty="0" smtClean="0"/>
            <a:t>Conceptualization</a:t>
          </a:r>
          <a:endParaRPr lang="en-US" dirty="0"/>
        </a:p>
      </dgm:t>
    </dgm:pt>
    <dgm:pt modelId="{7A0F2C4C-EDA7-4DB7-B368-DB553A2FF3E7}" type="parTrans" cxnId="{32471F36-911E-4F6D-920D-7C554D8D1B6E}">
      <dgm:prSet/>
      <dgm:spPr/>
      <dgm:t>
        <a:bodyPr/>
        <a:lstStyle/>
        <a:p>
          <a:endParaRPr lang="en-US"/>
        </a:p>
      </dgm:t>
    </dgm:pt>
    <dgm:pt modelId="{0B0B0885-87E4-4693-80EB-C3F64535EA85}" type="sibTrans" cxnId="{32471F36-911E-4F6D-920D-7C554D8D1B6E}">
      <dgm:prSet/>
      <dgm:spPr/>
      <dgm:t>
        <a:bodyPr/>
        <a:lstStyle/>
        <a:p>
          <a:endParaRPr lang="en-US" dirty="0"/>
        </a:p>
      </dgm:t>
    </dgm:pt>
    <dgm:pt modelId="{09159BB4-0405-40FA-AC18-9A23CB65BE7A}">
      <dgm:prSet phldrT="[Text]"/>
      <dgm:spPr/>
      <dgm:t>
        <a:bodyPr/>
        <a:lstStyle/>
        <a:p>
          <a:r>
            <a:rPr lang="en-US" dirty="0" smtClean="0"/>
            <a:t>Active </a:t>
          </a:r>
        </a:p>
        <a:p>
          <a:r>
            <a:rPr lang="en-US" dirty="0" smtClean="0"/>
            <a:t>Experimentation</a:t>
          </a:r>
          <a:endParaRPr lang="en-US" dirty="0"/>
        </a:p>
      </dgm:t>
    </dgm:pt>
    <dgm:pt modelId="{33162136-1E78-4001-84DD-F1F8B3B0E496}" type="parTrans" cxnId="{4A147974-1BAF-4BC4-B3E7-02187CEC9262}">
      <dgm:prSet/>
      <dgm:spPr/>
      <dgm:t>
        <a:bodyPr/>
        <a:lstStyle/>
        <a:p>
          <a:endParaRPr lang="en-US"/>
        </a:p>
      </dgm:t>
    </dgm:pt>
    <dgm:pt modelId="{876BE8B9-B21A-431F-9DB6-5C1DADDD119F}" type="sibTrans" cxnId="{4A147974-1BAF-4BC4-B3E7-02187CEC9262}">
      <dgm:prSet/>
      <dgm:spPr/>
      <dgm:t>
        <a:bodyPr/>
        <a:lstStyle/>
        <a:p>
          <a:endParaRPr lang="en-US" dirty="0"/>
        </a:p>
      </dgm:t>
    </dgm:pt>
    <dgm:pt modelId="{95844612-BDB0-480C-8EF9-C2296AA5F5DA}" type="pres">
      <dgm:prSet presAssocID="{097E0B57-3AEF-4A91-B779-1A484DE49F0A}" presName="cycle" presStyleCnt="0">
        <dgm:presLayoutVars>
          <dgm:dir/>
          <dgm:resizeHandles val="exact"/>
        </dgm:presLayoutVars>
      </dgm:prSet>
      <dgm:spPr/>
      <dgm:t>
        <a:bodyPr/>
        <a:lstStyle/>
        <a:p>
          <a:endParaRPr lang="en-US"/>
        </a:p>
      </dgm:t>
    </dgm:pt>
    <dgm:pt modelId="{4388445D-78D8-48ED-B929-D705A048FF2D}" type="pres">
      <dgm:prSet presAssocID="{A8286078-3A9A-4929-959C-EE8FC871BD02}" presName="node" presStyleLbl="node1" presStyleIdx="0" presStyleCnt="4">
        <dgm:presLayoutVars>
          <dgm:bulletEnabled val="1"/>
        </dgm:presLayoutVars>
      </dgm:prSet>
      <dgm:spPr/>
      <dgm:t>
        <a:bodyPr/>
        <a:lstStyle/>
        <a:p>
          <a:endParaRPr lang="en-US"/>
        </a:p>
      </dgm:t>
    </dgm:pt>
    <dgm:pt modelId="{D9CD086B-16CF-4483-A414-CE2E9069C034}" type="pres">
      <dgm:prSet presAssocID="{A8286078-3A9A-4929-959C-EE8FC871BD02}" presName="spNode" presStyleCnt="0"/>
      <dgm:spPr/>
    </dgm:pt>
    <dgm:pt modelId="{6FB468EF-F7C5-4336-8175-1D7F85B28E0E}" type="pres">
      <dgm:prSet presAssocID="{95E763F7-81AE-41EA-A7C8-D767A9EB21AE}" presName="sibTrans" presStyleLbl="sibTrans1D1" presStyleIdx="0" presStyleCnt="4"/>
      <dgm:spPr/>
      <dgm:t>
        <a:bodyPr/>
        <a:lstStyle/>
        <a:p>
          <a:endParaRPr lang="en-US"/>
        </a:p>
      </dgm:t>
    </dgm:pt>
    <dgm:pt modelId="{66F7D685-FE10-401D-85C2-A352C6F305C4}" type="pres">
      <dgm:prSet presAssocID="{49CDD8A2-1285-4110-8B00-BC7EC441770B}" presName="node" presStyleLbl="node1" presStyleIdx="1" presStyleCnt="4">
        <dgm:presLayoutVars>
          <dgm:bulletEnabled val="1"/>
        </dgm:presLayoutVars>
      </dgm:prSet>
      <dgm:spPr/>
      <dgm:t>
        <a:bodyPr/>
        <a:lstStyle/>
        <a:p>
          <a:endParaRPr lang="en-US"/>
        </a:p>
      </dgm:t>
    </dgm:pt>
    <dgm:pt modelId="{A0933846-9137-41B2-B4D4-77D8ABA55F2E}" type="pres">
      <dgm:prSet presAssocID="{49CDD8A2-1285-4110-8B00-BC7EC441770B}" presName="spNode" presStyleCnt="0"/>
      <dgm:spPr/>
    </dgm:pt>
    <dgm:pt modelId="{EA9E83C1-E3AD-450C-B976-0191A7BD59DB}" type="pres">
      <dgm:prSet presAssocID="{188455A9-FA8F-4026-8678-B2353941006B}" presName="sibTrans" presStyleLbl="sibTrans1D1" presStyleIdx="1" presStyleCnt="4"/>
      <dgm:spPr/>
      <dgm:t>
        <a:bodyPr/>
        <a:lstStyle/>
        <a:p>
          <a:endParaRPr lang="en-US"/>
        </a:p>
      </dgm:t>
    </dgm:pt>
    <dgm:pt modelId="{B8F4B7FB-24C4-4527-BA2D-33027EC35442}" type="pres">
      <dgm:prSet presAssocID="{B0D6ADCF-82C6-404D-8AE0-512F74D81D16}" presName="node" presStyleLbl="node1" presStyleIdx="2" presStyleCnt="4">
        <dgm:presLayoutVars>
          <dgm:bulletEnabled val="1"/>
        </dgm:presLayoutVars>
      </dgm:prSet>
      <dgm:spPr/>
      <dgm:t>
        <a:bodyPr/>
        <a:lstStyle/>
        <a:p>
          <a:endParaRPr lang="en-US"/>
        </a:p>
      </dgm:t>
    </dgm:pt>
    <dgm:pt modelId="{6657334D-9D63-41BC-B818-D38D74BE8A35}" type="pres">
      <dgm:prSet presAssocID="{B0D6ADCF-82C6-404D-8AE0-512F74D81D16}" presName="spNode" presStyleCnt="0"/>
      <dgm:spPr/>
    </dgm:pt>
    <dgm:pt modelId="{DFE4D854-3398-421C-A764-40BACD11261E}" type="pres">
      <dgm:prSet presAssocID="{0B0B0885-87E4-4693-80EB-C3F64535EA85}" presName="sibTrans" presStyleLbl="sibTrans1D1" presStyleIdx="2" presStyleCnt="4"/>
      <dgm:spPr/>
      <dgm:t>
        <a:bodyPr/>
        <a:lstStyle/>
        <a:p>
          <a:endParaRPr lang="en-US"/>
        </a:p>
      </dgm:t>
    </dgm:pt>
    <dgm:pt modelId="{B746A0D6-651E-45CD-8B07-205636A19CAF}" type="pres">
      <dgm:prSet presAssocID="{09159BB4-0405-40FA-AC18-9A23CB65BE7A}" presName="node" presStyleLbl="node1" presStyleIdx="3" presStyleCnt="4">
        <dgm:presLayoutVars>
          <dgm:bulletEnabled val="1"/>
        </dgm:presLayoutVars>
      </dgm:prSet>
      <dgm:spPr/>
      <dgm:t>
        <a:bodyPr/>
        <a:lstStyle/>
        <a:p>
          <a:endParaRPr lang="en-US"/>
        </a:p>
      </dgm:t>
    </dgm:pt>
    <dgm:pt modelId="{E8A101C3-D886-4E54-8734-786B975F137E}" type="pres">
      <dgm:prSet presAssocID="{09159BB4-0405-40FA-AC18-9A23CB65BE7A}" presName="spNode" presStyleCnt="0"/>
      <dgm:spPr/>
    </dgm:pt>
    <dgm:pt modelId="{B3B5A6E9-7BEE-453D-B8F2-B6E77D38C3B6}" type="pres">
      <dgm:prSet presAssocID="{876BE8B9-B21A-431F-9DB6-5C1DADDD119F}" presName="sibTrans" presStyleLbl="sibTrans1D1" presStyleIdx="3" presStyleCnt="4"/>
      <dgm:spPr/>
      <dgm:t>
        <a:bodyPr/>
        <a:lstStyle/>
        <a:p>
          <a:endParaRPr lang="en-US"/>
        </a:p>
      </dgm:t>
    </dgm:pt>
  </dgm:ptLst>
  <dgm:cxnLst>
    <dgm:cxn modelId="{32471F36-911E-4F6D-920D-7C554D8D1B6E}" srcId="{097E0B57-3AEF-4A91-B779-1A484DE49F0A}" destId="{B0D6ADCF-82C6-404D-8AE0-512F74D81D16}" srcOrd="2" destOrd="0" parTransId="{7A0F2C4C-EDA7-4DB7-B368-DB553A2FF3E7}" sibTransId="{0B0B0885-87E4-4693-80EB-C3F64535EA85}"/>
    <dgm:cxn modelId="{4A147974-1BAF-4BC4-B3E7-02187CEC9262}" srcId="{097E0B57-3AEF-4A91-B779-1A484DE49F0A}" destId="{09159BB4-0405-40FA-AC18-9A23CB65BE7A}" srcOrd="3" destOrd="0" parTransId="{33162136-1E78-4001-84DD-F1F8B3B0E496}" sibTransId="{876BE8B9-B21A-431F-9DB6-5C1DADDD119F}"/>
    <dgm:cxn modelId="{C1ED3540-C92C-804B-94B9-B2B7B8459F87}" type="presOf" srcId="{95E763F7-81AE-41EA-A7C8-D767A9EB21AE}" destId="{6FB468EF-F7C5-4336-8175-1D7F85B28E0E}" srcOrd="0" destOrd="0" presId="urn:microsoft.com/office/officeart/2005/8/layout/cycle5"/>
    <dgm:cxn modelId="{9E1C458B-9628-B246-BF83-91E64EB54761}" type="presOf" srcId="{09159BB4-0405-40FA-AC18-9A23CB65BE7A}" destId="{B746A0D6-651E-45CD-8B07-205636A19CAF}" srcOrd="0" destOrd="0" presId="urn:microsoft.com/office/officeart/2005/8/layout/cycle5"/>
    <dgm:cxn modelId="{0FB6DE45-7949-4437-8AA0-8DEDC27B03AC}" srcId="{097E0B57-3AEF-4A91-B779-1A484DE49F0A}" destId="{49CDD8A2-1285-4110-8B00-BC7EC441770B}" srcOrd="1" destOrd="0" parTransId="{558E6EDC-668A-4389-80D2-D004583DADE4}" sibTransId="{188455A9-FA8F-4026-8678-B2353941006B}"/>
    <dgm:cxn modelId="{CC89630D-3EA0-A04D-B794-344785FC0816}" type="presOf" srcId="{097E0B57-3AEF-4A91-B779-1A484DE49F0A}" destId="{95844612-BDB0-480C-8EF9-C2296AA5F5DA}" srcOrd="0" destOrd="0" presId="urn:microsoft.com/office/officeart/2005/8/layout/cycle5"/>
    <dgm:cxn modelId="{A8DF67CE-E1F9-EE48-98F9-E608C1B651D4}" type="presOf" srcId="{188455A9-FA8F-4026-8678-B2353941006B}" destId="{EA9E83C1-E3AD-450C-B976-0191A7BD59DB}" srcOrd="0" destOrd="0" presId="urn:microsoft.com/office/officeart/2005/8/layout/cycle5"/>
    <dgm:cxn modelId="{2191E047-E1DB-754C-8121-2DFA984B5149}" type="presOf" srcId="{0B0B0885-87E4-4693-80EB-C3F64535EA85}" destId="{DFE4D854-3398-421C-A764-40BACD11261E}" srcOrd="0" destOrd="0" presId="urn:microsoft.com/office/officeart/2005/8/layout/cycle5"/>
    <dgm:cxn modelId="{F8C43556-6715-46BA-A050-B7C4AEA699F3}" srcId="{097E0B57-3AEF-4A91-B779-1A484DE49F0A}" destId="{A8286078-3A9A-4929-959C-EE8FC871BD02}" srcOrd="0" destOrd="0" parTransId="{BB49C878-7611-4F2B-9E0C-93BD5601B678}" sibTransId="{95E763F7-81AE-41EA-A7C8-D767A9EB21AE}"/>
    <dgm:cxn modelId="{A2A54015-9C7D-484C-9288-17D6A0490188}" type="presOf" srcId="{A8286078-3A9A-4929-959C-EE8FC871BD02}" destId="{4388445D-78D8-48ED-B929-D705A048FF2D}" srcOrd="0" destOrd="0" presId="urn:microsoft.com/office/officeart/2005/8/layout/cycle5"/>
    <dgm:cxn modelId="{9000EC17-69E8-AB4A-8831-231FA19BB854}" type="presOf" srcId="{876BE8B9-B21A-431F-9DB6-5C1DADDD119F}" destId="{B3B5A6E9-7BEE-453D-B8F2-B6E77D38C3B6}" srcOrd="0" destOrd="0" presId="urn:microsoft.com/office/officeart/2005/8/layout/cycle5"/>
    <dgm:cxn modelId="{4F407CE7-E509-7141-9E6D-C37F6FACA4AF}" type="presOf" srcId="{49CDD8A2-1285-4110-8B00-BC7EC441770B}" destId="{66F7D685-FE10-401D-85C2-A352C6F305C4}" srcOrd="0" destOrd="0" presId="urn:microsoft.com/office/officeart/2005/8/layout/cycle5"/>
    <dgm:cxn modelId="{B4DA0D48-F0CC-E34D-B0C2-AF5293F59DC1}" type="presOf" srcId="{B0D6ADCF-82C6-404D-8AE0-512F74D81D16}" destId="{B8F4B7FB-24C4-4527-BA2D-33027EC35442}" srcOrd="0" destOrd="0" presId="urn:microsoft.com/office/officeart/2005/8/layout/cycle5"/>
    <dgm:cxn modelId="{52F47D53-16C7-7E49-B4D8-3DE0BDD01D14}" type="presParOf" srcId="{95844612-BDB0-480C-8EF9-C2296AA5F5DA}" destId="{4388445D-78D8-48ED-B929-D705A048FF2D}" srcOrd="0" destOrd="0" presId="urn:microsoft.com/office/officeart/2005/8/layout/cycle5"/>
    <dgm:cxn modelId="{94104A68-606F-714A-B4A1-309AE905F14D}" type="presParOf" srcId="{95844612-BDB0-480C-8EF9-C2296AA5F5DA}" destId="{D9CD086B-16CF-4483-A414-CE2E9069C034}" srcOrd="1" destOrd="0" presId="urn:microsoft.com/office/officeart/2005/8/layout/cycle5"/>
    <dgm:cxn modelId="{453AE535-96F7-F246-827D-E8A5C26B48F8}" type="presParOf" srcId="{95844612-BDB0-480C-8EF9-C2296AA5F5DA}" destId="{6FB468EF-F7C5-4336-8175-1D7F85B28E0E}" srcOrd="2" destOrd="0" presId="urn:microsoft.com/office/officeart/2005/8/layout/cycle5"/>
    <dgm:cxn modelId="{FA1F292F-9E50-9641-B845-885BD50EBADF}" type="presParOf" srcId="{95844612-BDB0-480C-8EF9-C2296AA5F5DA}" destId="{66F7D685-FE10-401D-85C2-A352C6F305C4}" srcOrd="3" destOrd="0" presId="urn:microsoft.com/office/officeart/2005/8/layout/cycle5"/>
    <dgm:cxn modelId="{5B09872E-FC8E-B94E-916A-C93AD004B9F5}" type="presParOf" srcId="{95844612-BDB0-480C-8EF9-C2296AA5F5DA}" destId="{A0933846-9137-41B2-B4D4-77D8ABA55F2E}" srcOrd="4" destOrd="0" presId="urn:microsoft.com/office/officeart/2005/8/layout/cycle5"/>
    <dgm:cxn modelId="{40199058-F4E4-734E-BBAB-E38C1E398EDB}" type="presParOf" srcId="{95844612-BDB0-480C-8EF9-C2296AA5F5DA}" destId="{EA9E83C1-E3AD-450C-B976-0191A7BD59DB}" srcOrd="5" destOrd="0" presId="urn:microsoft.com/office/officeart/2005/8/layout/cycle5"/>
    <dgm:cxn modelId="{78696A67-31D9-0747-AD60-86EEB8D8E81E}" type="presParOf" srcId="{95844612-BDB0-480C-8EF9-C2296AA5F5DA}" destId="{B8F4B7FB-24C4-4527-BA2D-33027EC35442}" srcOrd="6" destOrd="0" presId="urn:microsoft.com/office/officeart/2005/8/layout/cycle5"/>
    <dgm:cxn modelId="{03B3F297-03E5-7649-90FF-4B98DCB60C3F}" type="presParOf" srcId="{95844612-BDB0-480C-8EF9-C2296AA5F5DA}" destId="{6657334D-9D63-41BC-B818-D38D74BE8A35}" srcOrd="7" destOrd="0" presId="urn:microsoft.com/office/officeart/2005/8/layout/cycle5"/>
    <dgm:cxn modelId="{CC94059F-CABD-0641-B08D-F4F4160659F7}" type="presParOf" srcId="{95844612-BDB0-480C-8EF9-C2296AA5F5DA}" destId="{DFE4D854-3398-421C-A764-40BACD11261E}" srcOrd="8" destOrd="0" presId="urn:microsoft.com/office/officeart/2005/8/layout/cycle5"/>
    <dgm:cxn modelId="{51E607EF-0665-754F-8852-D7B49D9FCA1D}" type="presParOf" srcId="{95844612-BDB0-480C-8EF9-C2296AA5F5DA}" destId="{B746A0D6-651E-45CD-8B07-205636A19CAF}" srcOrd="9" destOrd="0" presId="urn:microsoft.com/office/officeart/2005/8/layout/cycle5"/>
    <dgm:cxn modelId="{E5E6FDA7-E774-2E42-B6C6-E3D80BAF43E0}" type="presParOf" srcId="{95844612-BDB0-480C-8EF9-C2296AA5F5DA}" destId="{E8A101C3-D886-4E54-8734-786B975F137E}" srcOrd="10" destOrd="0" presId="urn:microsoft.com/office/officeart/2005/8/layout/cycle5"/>
    <dgm:cxn modelId="{2CD32C39-5930-AF44-ADFC-D52D248A63C2}" type="presParOf" srcId="{95844612-BDB0-480C-8EF9-C2296AA5F5DA}" destId="{B3B5A6E9-7BEE-453D-B8F2-B6E77D38C3B6}"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8445D-78D8-48ED-B929-D705A048FF2D}">
      <dsp:nvSpPr>
        <dsp:cNvPr id="0" name=""/>
        <dsp:cNvSpPr/>
      </dsp:nvSpPr>
      <dsp:spPr>
        <a:xfrm>
          <a:off x="1069274" y="361"/>
          <a:ext cx="490351" cy="31872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t>Concrete Experience</a:t>
          </a:r>
          <a:endParaRPr lang="en-US" sz="500" kern="1200" dirty="0"/>
        </a:p>
      </dsp:txBody>
      <dsp:txXfrm>
        <a:off x="1084833" y="15920"/>
        <a:ext cx="459233" cy="287610"/>
      </dsp:txXfrm>
    </dsp:sp>
    <dsp:sp modelId="{6FB468EF-F7C5-4336-8175-1D7F85B28E0E}">
      <dsp:nvSpPr>
        <dsp:cNvPr id="0" name=""/>
        <dsp:cNvSpPr/>
      </dsp:nvSpPr>
      <dsp:spPr>
        <a:xfrm>
          <a:off x="788375" y="159725"/>
          <a:ext cx="1052148" cy="1052148"/>
        </a:xfrm>
        <a:custGeom>
          <a:avLst/>
          <a:gdLst/>
          <a:ahLst/>
          <a:cxnLst/>
          <a:rect l="0" t="0" r="0" b="0"/>
          <a:pathLst>
            <a:path>
              <a:moveTo>
                <a:pt x="838791" y="103034"/>
              </a:moveTo>
              <a:arcTo wR="526074" hR="526074" stAng="18388342" swAng="1631976"/>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6F7D685-FE10-401D-85C2-A352C6F305C4}">
      <dsp:nvSpPr>
        <dsp:cNvPr id="0" name=""/>
        <dsp:cNvSpPr/>
      </dsp:nvSpPr>
      <dsp:spPr>
        <a:xfrm>
          <a:off x="1595348" y="526435"/>
          <a:ext cx="490351" cy="318728"/>
        </a:xfrm>
        <a:prstGeom prst="roundRect">
          <a:avLst/>
        </a:prstGeom>
        <a:solidFill>
          <a:schemeClr val="accent3">
            <a:hueOff val="3750089"/>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t>Reflective Observation</a:t>
          </a:r>
          <a:endParaRPr lang="en-US" sz="500" kern="1200" dirty="0"/>
        </a:p>
      </dsp:txBody>
      <dsp:txXfrm>
        <a:off x="1610907" y="541994"/>
        <a:ext cx="459233" cy="287610"/>
      </dsp:txXfrm>
    </dsp:sp>
    <dsp:sp modelId="{EA9E83C1-E3AD-450C-B976-0191A7BD59DB}">
      <dsp:nvSpPr>
        <dsp:cNvPr id="0" name=""/>
        <dsp:cNvSpPr/>
      </dsp:nvSpPr>
      <dsp:spPr>
        <a:xfrm>
          <a:off x="788375" y="159725"/>
          <a:ext cx="1052148" cy="1052148"/>
        </a:xfrm>
        <a:custGeom>
          <a:avLst/>
          <a:gdLst/>
          <a:ahLst/>
          <a:cxnLst/>
          <a:rect l="0" t="0" r="0" b="0"/>
          <a:pathLst>
            <a:path>
              <a:moveTo>
                <a:pt x="997578" y="759393"/>
              </a:moveTo>
              <a:arcTo wR="526074" hR="526074" stAng="1579683" swAng="1631976"/>
            </a:path>
          </a:pathLst>
        </a:custGeom>
        <a:noFill/>
        <a:ln w="9525" cap="flat" cmpd="sng" algn="ctr">
          <a:solidFill>
            <a:schemeClr val="accent3">
              <a:hueOff val="3750089"/>
              <a:satOff val="-5627"/>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8F4B7FB-24C4-4527-BA2D-33027EC35442}">
      <dsp:nvSpPr>
        <dsp:cNvPr id="0" name=""/>
        <dsp:cNvSpPr/>
      </dsp:nvSpPr>
      <dsp:spPr>
        <a:xfrm>
          <a:off x="1069274" y="1052510"/>
          <a:ext cx="490351" cy="318728"/>
        </a:xfrm>
        <a:prstGeom prst="roundRect">
          <a:avLst/>
        </a:prstGeom>
        <a:solidFill>
          <a:schemeClr val="accent3">
            <a:hueOff val="7500177"/>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t>Abstract</a:t>
          </a:r>
        </a:p>
        <a:p>
          <a:pPr lvl="0" algn="ctr" defTabSz="222250">
            <a:lnSpc>
              <a:spcPct val="90000"/>
            </a:lnSpc>
            <a:spcBef>
              <a:spcPct val="0"/>
            </a:spcBef>
            <a:spcAft>
              <a:spcPct val="35000"/>
            </a:spcAft>
          </a:pPr>
          <a:r>
            <a:rPr lang="en-US" sz="500" kern="1200" dirty="0" smtClean="0"/>
            <a:t>Conceptualization</a:t>
          </a:r>
          <a:endParaRPr lang="en-US" sz="500" kern="1200" dirty="0"/>
        </a:p>
      </dsp:txBody>
      <dsp:txXfrm>
        <a:off x="1084833" y="1068069"/>
        <a:ext cx="459233" cy="287610"/>
      </dsp:txXfrm>
    </dsp:sp>
    <dsp:sp modelId="{DFE4D854-3398-421C-A764-40BACD11261E}">
      <dsp:nvSpPr>
        <dsp:cNvPr id="0" name=""/>
        <dsp:cNvSpPr/>
      </dsp:nvSpPr>
      <dsp:spPr>
        <a:xfrm>
          <a:off x="788375" y="159725"/>
          <a:ext cx="1052148" cy="1052148"/>
        </a:xfrm>
        <a:custGeom>
          <a:avLst/>
          <a:gdLst/>
          <a:ahLst/>
          <a:cxnLst/>
          <a:rect l="0" t="0" r="0" b="0"/>
          <a:pathLst>
            <a:path>
              <a:moveTo>
                <a:pt x="213357" y="949113"/>
              </a:moveTo>
              <a:arcTo wR="526074" hR="526074" stAng="7588342" swAng="1631976"/>
            </a:path>
          </a:pathLst>
        </a:custGeom>
        <a:noFill/>
        <a:ln w="9525" cap="flat" cmpd="sng" algn="ctr">
          <a:solidFill>
            <a:schemeClr val="accent3">
              <a:hueOff val="7500177"/>
              <a:satOff val="-11253"/>
              <a:lumOff val="-183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746A0D6-651E-45CD-8B07-205636A19CAF}">
      <dsp:nvSpPr>
        <dsp:cNvPr id="0" name=""/>
        <dsp:cNvSpPr/>
      </dsp:nvSpPr>
      <dsp:spPr>
        <a:xfrm>
          <a:off x="543199" y="526435"/>
          <a:ext cx="490351" cy="318728"/>
        </a:xfrm>
        <a:prstGeom prst="roundRect">
          <a:avLst/>
        </a:prstGeom>
        <a:solidFill>
          <a:schemeClr val="accent3">
            <a:hueOff val="11250266"/>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t>Active </a:t>
          </a:r>
        </a:p>
        <a:p>
          <a:pPr lvl="0" algn="ctr" defTabSz="222250">
            <a:lnSpc>
              <a:spcPct val="90000"/>
            </a:lnSpc>
            <a:spcBef>
              <a:spcPct val="0"/>
            </a:spcBef>
            <a:spcAft>
              <a:spcPct val="35000"/>
            </a:spcAft>
          </a:pPr>
          <a:r>
            <a:rPr lang="en-US" sz="500" kern="1200" dirty="0" smtClean="0"/>
            <a:t>Experimentation</a:t>
          </a:r>
          <a:endParaRPr lang="en-US" sz="500" kern="1200" dirty="0"/>
        </a:p>
      </dsp:txBody>
      <dsp:txXfrm>
        <a:off x="558758" y="541994"/>
        <a:ext cx="459233" cy="287610"/>
      </dsp:txXfrm>
    </dsp:sp>
    <dsp:sp modelId="{B3B5A6E9-7BEE-453D-B8F2-B6E77D38C3B6}">
      <dsp:nvSpPr>
        <dsp:cNvPr id="0" name=""/>
        <dsp:cNvSpPr/>
      </dsp:nvSpPr>
      <dsp:spPr>
        <a:xfrm>
          <a:off x="788375" y="159725"/>
          <a:ext cx="1052148" cy="1052148"/>
        </a:xfrm>
        <a:custGeom>
          <a:avLst/>
          <a:gdLst/>
          <a:ahLst/>
          <a:cxnLst/>
          <a:rect l="0" t="0" r="0" b="0"/>
          <a:pathLst>
            <a:path>
              <a:moveTo>
                <a:pt x="54569" y="292755"/>
              </a:moveTo>
              <a:arcTo wR="526074" hR="526074" stAng="12379683" swAng="1631976"/>
            </a:path>
          </a:pathLst>
        </a:custGeom>
        <a:noFill/>
        <a:ln w="9525" cap="flat" cmpd="sng" algn="ctr">
          <a:solidFill>
            <a:schemeClr val="accent3">
              <a:hueOff val="11250266"/>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1339</Words>
  <Characters>7635</Characters>
  <Application>Microsoft Macintosh Word</Application>
  <DocSecurity>0</DocSecurity>
  <Lines>63</Lines>
  <Paragraphs>17</Paragraphs>
  <ScaleCrop>false</ScaleCrop>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7</cp:revision>
  <cp:lastPrinted>2015-08-27T04:20:00Z</cp:lastPrinted>
  <dcterms:created xsi:type="dcterms:W3CDTF">2015-08-27T04:20:00Z</dcterms:created>
  <dcterms:modified xsi:type="dcterms:W3CDTF">2015-10-06T23:33:00Z</dcterms:modified>
</cp:coreProperties>
</file>