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0DA1D" w14:textId="2B298D8F" w:rsidR="009B1A4B" w:rsidRPr="008626A8" w:rsidRDefault="009B1A4B" w:rsidP="009B1A4B">
      <w:pPr>
        <w:rPr>
          <w:b/>
          <w:w w:val="105"/>
          <w:sz w:val="28"/>
          <w:szCs w:val="28"/>
        </w:rPr>
      </w:pPr>
      <w:proofErr w:type="spellStart"/>
      <w:r w:rsidRPr="008626A8">
        <w:rPr>
          <w:b/>
          <w:w w:val="105"/>
          <w:sz w:val="28"/>
          <w:szCs w:val="28"/>
        </w:rPr>
        <w:t>Marzano</w:t>
      </w:r>
      <w:proofErr w:type="spellEnd"/>
      <w:r w:rsidRPr="008626A8">
        <w:rPr>
          <w:b/>
          <w:w w:val="105"/>
          <w:sz w:val="28"/>
          <w:szCs w:val="28"/>
        </w:rPr>
        <w:t xml:space="preserve">, Pickering, and </w:t>
      </w:r>
      <w:proofErr w:type="spellStart"/>
      <w:r w:rsidRPr="008626A8">
        <w:rPr>
          <w:b/>
          <w:w w:val="105"/>
          <w:sz w:val="28"/>
          <w:szCs w:val="28"/>
        </w:rPr>
        <w:t>McTighe</w:t>
      </w:r>
      <w:proofErr w:type="spellEnd"/>
      <w:r w:rsidRPr="008626A8">
        <w:rPr>
          <w:b/>
          <w:w w:val="105"/>
          <w:sz w:val="28"/>
          <w:szCs w:val="28"/>
        </w:rPr>
        <w:t xml:space="preserve"> </w:t>
      </w:r>
      <w:r w:rsidR="0096534A">
        <w:rPr>
          <w:b/>
          <w:w w:val="105"/>
          <w:sz w:val="28"/>
          <w:szCs w:val="28"/>
        </w:rPr>
        <w:t xml:space="preserve">(1993) </w:t>
      </w:r>
      <w:r w:rsidRPr="008626A8">
        <w:rPr>
          <w:b/>
          <w:w w:val="105"/>
          <w:sz w:val="28"/>
          <w:szCs w:val="28"/>
        </w:rPr>
        <w:t xml:space="preserve">describe five types of learning outcomes that promote lifelong learning. </w:t>
      </w:r>
    </w:p>
    <w:p w14:paraId="76BC845E" w14:textId="77777777" w:rsidR="000759E4" w:rsidRPr="008626A8" w:rsidRDefault="000759E4" w:rsidP="009B1A4B">
      <w:pPr>
        <w:rPr>
          <w:w w:val="105"/>
        </w:rPr>
      </w:pPr>
    </w:p>
    <w:p w14:paraId="392EF17A" w14:textId="77777777" w:rsidR="009B1A4B" w:rsidRPr="008626A8" w:rsidRDefault="009B1A4B" w:rsidP="009B1A4B">
      <w:pPr>
        <w:numPr>
          <w:ilvl w:val="0"/>
          <w:numId w:val="1"/>
        </w:numPr>
        <w:rPr>
          <w:w w:val="105"/>
        </w:rPr>
      </w:pPr>
      <w:r w:rsidRPr="008626A8">
        <w:rPr>
          <w:i/>
          <w:w w:val="105"/>
        </w:rPr>
        <w:t>Complex thinking standards</w:t>
      </w:r>
      <w:r w:rsidRPr="008626A8">
        <w:rPr>
          <w:w w:val="105"/>
        </w:rPr>
        <w:t xml:space="preserve">. Students use various reasoning strategies. </w:t>
      </w:r>
    </w:p>
    <w:p w14:paraId="58F29B61" w14:textId="77777777" w:rsidR="009B1A4B" w:rsidRPr="008626A8" w:rsidRDefault="009B1A4B" w:rsidP="009B1A4B">
      <w:pPr>
        <w:numPr>
          <w:ilvl w:val="0"/>
          <w:numId w:val="1"/>
        </w:numPr>
        <w:rPr>
          <w:w w:val="105"/>
        </w:rPr>
      </w:pPr>
      <w:r w:rsidRPr="008626A8">
        <w:rPr>
          <w:i/>
          <w:w w:val="105"/>
        </w:rPr>
        <w:t>Information processing</w:t>
      </w:r>
      <w:r w:rsidRPr="008626A8">
        <w:rPr>
          <w:w w:val="105"/>
        </w:rPr>
        <w:t xml:space="preserve">. Students use various information-gathering techniques and resources, interpret and synthesize information, assess the value of information, and know when additional information is needed. </w:t>
      </w:r>
    </w:p>
    <w:p w14:paraId="6E3FABB5" w14:textId="77777777" w:rsidR="009B1A4B" w:rsidRPr="008626A8" w:rsidRDefault="009B1A4B" w:rsidP="009B1A4B">
      <w:pPr>
        <w:numPr>
          <w:ilvl w:val="0"/>
          <w:numId w:val="1"/>
        </w:numPr>
        <w:rPr>
          <w:w w:val="105"/>
        </w:rPr>
      </w:pPr>
      <w:r w:rsidRPr="008626A8">
        <w:rPr>
          <w:i/>
          <w:w w:val="105"/>
        </w:rPr>
        <w:t>Effective communication</w:t>
      </w:r>
      <w:r w:rsidRPr="008626A8">
        <w:rPr>
          <w:w w:val="105"/>
        </w:rPr>
        <w:t xml:space="preserve">. Students communicate with diverse audiences in a variety of ways for different purposes. </w:t>
      </w:r>
    </w:p>
    <w:p w14:paraId="1BAB25EF" w14:textId="77777777" w:rsidR="009B1A4B" w:rsidRPr="008626A8" w:rsidRDefault="009B1A4B" w:rsidP="009B1A4B">
      <w:pPr>
        <w:numPr>
          <w:ilvl w:val="0"/>
          <w:numId w:val="1"/>
        </w:numPr>
      </w:pPr>
      <w:r w:rsidRPr="008626A8">
        <w:rPr>
          <w:i/>
          <w:w w:val="105"/>
        </w:rPr>
        <w:t>Collaboration/cooperation out</w:t>
      </w:r>
      <w:r w:rsidRPr="008626A8">
        <w:rPr>
          <w:i/>
          <w:w w:val="105"/>
        </w:rPr>
        <w:softHyphen/>
        <w:t>comes</w:t>
      </w:r>
      <w:r w:rsidRPr="008626A8">
        <w:rPr>
          <w:w w:val="105"/>
        </w:rPr>
        <w:t xml:space="preserve">. Students demonstrate effective performance </w:t>
      </w:r>
      <w:proofErr w:type="gramStart"/>
      <w:r w:rsidRPr="008626A8">
        <w:rPr>
          <w:w w:val="105"/>
        </w:rPr>
        <w:t>in group</w:t>
      </w:r>
      <w:proofErr w:type="gramEnd"/>
      <w:r w:rsidRPr="008626A8">
        <w:rPr>
          <w:w w:val="105"/>
        </w:rPr>
        <w:t xml:space="preserve"> situations and use interper</w:t>
      </w:r>
      <w:r w:rsidRPr="008626A8">
        <w:rPr>
          <w:w w:val="105"/>
        </w:rPr>
        <w:softHyphen/>
        <w:t xml:space="preserve">sonal skills effectively. </w:t>
      </w:r>
    </w:p>
    <w:p w14:paraId="0FDAF9F3" w14:textId="77777777" w:rsidR="009B1A4B" w:rsidRDefault="009B1A4B" w:rsidP="009B1A4B">
      <w:pPr>
        <w:numPr>
          <w:ilvl w:val="0"/>
          <w:numId w:val="1"/>
        </w:numPr>
      </w:pPr>
      <w:r w:rsidRPr="00743C75">
        <w:rPr>
          <w:i/>
          <w:w w:val="105"/>
        </w:rPr>
        <w:t>Habits of mind</w:t>
      </w:r>
      <w:r w:rsidRPr="00743C75">
        <w:rPr>
          <w:w w:val="105"/>
        </w:rPr>
        <w:t xml:space="preserve">. Students control their own thought processes and behavior. Three types of outcomes are included in this category: (1) </w:t>
      </w:r>
      <w:r w:rsidRPr="00743C75">
        <w:rPr>
          <w:iCs/>
        </w:rPr>
        <w:t xml:space="preserve">Self-regulation where students are </w:t>
      </w:r>
      <w:r w:rsidR="00E80D8D" w:rsidRPr="00743C75">
        <w:rPr>
          <w:iCs/>
        </w:rPr>
        <w:t>aware of their own thinking, make effective use</w:t>
      </w:r>
      <w:r w:rsidRPr="00743C75">
        <w:rPr>
          <w:iCs/>
        </w:rPr>
        <w:t xml:space="preserve"> </w:t>
      </w:r>
      <w:r w:rsidR="00E80D8D" w:rsidRPr="00743C75">
        <w:rPr>
          <w:iCs/>
        </w:rPr>
        <w:t>of feedback</w:t>
      </w:r>
      <w:r w:rsidRPr="00743C75">
        <w:rPr>
          <w:iCs/>
        </w:rPr>
        <w:t>, and evaluate their own actions productively. (2) Critical thinking that seeks accuracy and clarity, is open-minded, controls impulsivity, takes a position when necessary, is sensitive to the capacities of others. (3) Creative thinking where students engage in tasks even when solutions are not immediately apparent, push the limits of their own knowledge and ability, g</w:t>
      </w:r>
      <w:r w:rsidRPr="008626A8">
        <w:t xml:space="preserve">enerates new ways of viewing a situation. </w:t>
      </w:r>
      <w:r w:rsidR="00743C75">
        <w:t xml:space="preserve"> </w:t>
      </w:r>
    </w:p>
    <w:p w14:paraId="7EF23EEF" w14:textId="77777777" w:rsidR="0096534A" w:rsidRDefault="0096534A" w:rsidP="0096534A">
      <w:pPr>
        <w:ind w:left="360"/>
      </w:pPr>
    </w:p>
    <w:p w14:paraId="348C5EBD" w14:textId="74286A02" w:rsidR="0096534A" w:rsidRDefault="0096534A" w:rsidP="0096534A">
      <w:pPr>
        <w:ind w:left="360"/>
      </w:pPr>
      <w:proofErr w:type="spellStart"/>
      <w:r>
        <w:t>Huba</w:t>
      </w:r>
      <w:proofErr w:type="spellEnd"/>
      <w:r>
        <w:t xml:space="preserve"> and Freed (2000) </w:t>
      </w:r>
      <w:bookmarkStart w:id="0" w:name="_GoBack"/>
      <w:bookmarkEnd w:id="0"/>
      <w:r>
        <w:t>observe that,</w:t>
      </w:r>
    </w:p>
    <w:p w14:paraId="081B4E9B" w14:textId="77777777" w:rsidR="0096534A" w:rsidRPr="005B486D" w:rsidRDefault="0096534A" w:rsidP="0096534A">
      <w:pPr>
        <w:ind w:left="360"/>
      </w:pPr>
    </w:p>
    <w:p w14:paraId="5EB394A0" w14:textId="7413D083" w:rsidR="009B1A4B" w:rsidRPr="008626A8" w:rsidRDefault="009B1A4B" w:rsidP="009B1A4B">
      <w:pPr>
        <w:pStyle w:val="Style"/>
        <w:spacing w:line="240" w:lineRule="exact"/>
        <w:ind w:left="1440" w:right="720" w:firstLine="360"/>
        <w:rPr>
          <w:rFonts w:ascii="Times New Roman" w:hAnsi="Times New Roman" w:cs="Times New Roman"/>
          <w:sz w:val="22"/>
          <w:szCs w:val="22"/>
        </w:rPr>
      </w:pPr>
      <w:r w:rsidRPr="008626A8">
        <w:rPr>
          <w:rFonts w:ascii="Times New Roman" w:hAnsi="Times New Roman" w:cs="Times New Roman"/>
          <w:sz w:val="22"/>
          <w:szCs w:val="22"/>
        </w:rPr>
        <w:t>Some people react negatively to the suggestion that learning outcomes should focus on general abilities, ‘habits of mind,’ or attitudinal aspects of learning. They fear that a ‘process’ focus will minimize the amount of con</w:t>
      </w:r>
      <w:r w:rsidRPr="008626A8">
        <w:rPr>
          <w:rFonts w:ascii="Times New Roman" w:hAnsi="Times New Roman" w:cs="Times New Roman"/>
          <w:sz w:val="22"/>
          <w:szCs w:val="22"/>
        </w:rPr>
        <w:softHyphen/>
        <w:t xml:space="preserve">tent that students learn. However, these individuals may be confusing the amount of content that students </w:t>
      </w:r>
      <w:r w:rsidRPr="008626A8">
        <w:rPr>
          <w:rFonts w:ascii="Times New Roman" w:hAnsi="Times New Roman" w:cs="Times New Roman"/>
          <w:i/>
          <w:iCs/>
          <w:w w:val="88"/>
          <w:sz w:val="22"/>
          <w:szCs w:val="22"/>
        </w:rPr>
        <w:t xml:space="preserve">are exposed </w:t>
      </w:r>
      <w:r w:rsidRPr="008626A8">
        <w:rPr>
          <w:rFonts w:ascii="Times New Roman" w:hAnsi="Times New Roman" w:cs="Times New Roman"/>
          <w:sz w:val="22"/>
          <w:szCs w:val="22"/>
        </w:rPr>
        <w:t xml:space="preserve">to with the amount that they </w:t>
      </w:r>
      <w:r w:rsidRPr="008626A8">
        <w:rPr>
          <w:rFonts w:ascii="Times New Roman" w:hAnsi="Times New Roman" w:cs="Times New Roman"/>
          <w:i/>
          <w:iCs/>
          <w:w w:val="88"/>
          <w:sz w:val="22"/>
          <w:szCs w:val="22"/>
        </w:rPr>
        <w:t>ac</w:t>
      </w:r>
      <w:r w:rsidRPr="008626A8">
        <w:rPr>
          <w:rFonts w:ascii="Times New Roman" w:hAnsi="Times New Roman" w:cs="Times New Roman"/>
          <w:i/>
          <w:iCs/>
          <w:w w:val="88"/>
          <w:sz w:val="22"/>
          <w:szCs w:val="22"/>
        </w:rPr>
        <w:softHyphen/>
        <w:t xml:space="preserve">tually internalize. </w:t>
      </w:r>
      <w:r w:rsidRPr="008626A8">
        <w:rPr>
          <w:rFonts w:ascii="Times New Roman" w:hAnsi="Times New Roman" w:cs="Times New Roman"/>
          <w:sz w:val="22"/>
          <w:szCs w:val="22"/>
        </w:rPr>
        <w:t>In traditional teaching, students are exposed to a great deal of content by professors, but the typical lament of professors is that students don’t seem to understand or retain it. In courses in which students are ex</w:t>
      </w:r>
      <w:r w:rsidRPr="008626A8">
        <w:rPr>
          <w:rFonts w:ascii="Times New Roman" w:hAnsi="Times New Roman" w:cs="Times New Roman"/>
          <w:sz w:val="22"/>
          <w:szCs w:val="22"/>
        </w:rPr>
        <w:softHyphen/>
        <w:t xml:space="preserve">pected to </w:t>
      </w:r>
      <w:r w:rsidRPr="008626A8">
        <w:rPr>
          <w:rFonts w:ascii="Times New Roman" w:hAnsi="Times New Roman" w:cs="Times New Roman"/>
          <w:i/>
          <w:iCs/>
          <w:w w:val="88"/>
          <w:sz w:val="22"/>
          <w:szCs w:val="22"/>
        </w:rPr>
        <w:t xml:space="preserve">use </w:t>
      </w:r>
      <w:r w:rsidRPr="008626A8">
        <w:rPr>
          <w:rFonts w:ascii="Times New Roman" w:hAnsi="Times New Roman" w:cs="Times New Roman"/>
          <w:sz w:val="22"/>
          <w:szCs w:val="22"/>
        </w:rPr>
        <w:t xml:space="preserve">content in meaningful ways, the amount of content internalized and recalled should actually </w:t>
      </w:r>
      <w:proofErr w:type="gramStart"/>
      <w:r w:rsidRPr="008626A8">
        <w:rPr>
          <w:rFonts w:ascii="Times New Roman" w:hAnsi="Times New Roman" w:cs="Times New Roman"/>
          <w:sz w:val="22"/>
          <w:szCs w:val="22"/>
        </w:rPr>
        <w:t>increase.</w:t>
      </w:r>
      <w:proofErr w:type="gramEnd"/>
      <w:r w:rsidR="0096534A">
        <w:rPr>
          <w:rFonts w:ascii="Times New Roman" w:hAnsi="Times New Roman" w:cs="Times New Roman"/>
          <w:sz w:val="22"/>
          <w:szCs w:val="22"/>
        </w:rPr>
        <w:t xml:space="preserve"> . . .</w:t>
      </w:r>
      <w:r w:rsidRPr="008626A8">
        <w:rPr>
          <w:rFonts w:ascii="Times New Roman" w:hAnsi="Times New Roman" w:cs="Times New Roman"/>
          <w:sz w:val="22"/>
          <w:szCs w:val="22"/>
        </w:rPr>
        <w:t xml:space="preserve"> </w:t>
      </w:r>
    </w:p>
    <w:p w14:paraId="4F7A674D" w14:textId="77777777" w:rsidR="0096534A" w:rsidRDefault="0096534A" w:rsidP="009B1A4B">
      <w:pPr>
        <w:pStyle w:val="Style"/>
        <w:spacing w:line="240" w:lineRule="exact"/>
        <w:ind w:left="1440" w:right="720" w:firstLine="720"/>
        <w:rPr>
          <w:rFonts w:ascii="Times New Roman" w:hAnsi="Times New Roman" w:cs="Times New Roman"/>
          <w:sz w:val="22"/>
          <w:szCs w:val="22"/>
        </w:rPr>
      </w:pPr>
      <w:r>
        <w:rPr>
          <w:rFonts w:ascii="Times New Roman" w:hAnsi="Times New Roman" w:cs="Times New Roman"/>
          <w:sz w:val="22"/>
          <w:szCs w:val="22"/>
        </w:rPr>
        <w:t xml:space="preserve"> </w:t>
      </w:r>
      <w:r w:rsidR="009B1A4B" w:rsidRPr="008626A8">
        <w:rPr>
          <w:rFonts w:ascii="Times New Roman" w:hAnsi="Times New Roman" w:cs="Times New Roman"/>
          <w:sz w:val="22"/>
          <w:szCs w:val="22"/>
        </w:rPr>
        <w:t>Students who have mastered more content will be better able to think like members of their dis</w:t>
      </w:r>
      <w:r w:rsidR="009B1A4B" w:rsidRPr="008626A8">
        <w:rPr>
          <w:rFonts w:ascii="Times New Roman" w:hAnsi="Times New Roman" w:cs="Times New Roman"/>
          <w:sz w:val="22"/>
          <w:szCs w:val="22"/>
        </w:rPr>
        <w:softHyphen/>
        <w:t xml:space="preserve">cipline. Thus, the focus is not on less content but rather is on what students can do with the content they have </w:t>
      </w:r>
      <w:proofErr w:type="gramStart"/>
      <w:r w:rsidR="009B1A4B" w:rsidRPr="008626A8">
        <w:rPr>
          <w:rFonts w:ascii="Times New Roman" w:hAnsi="Times New Roman" w:cs="Times New Roman"/>
          <w:sz w:val="22"/>
          <w:szCs w:val="22"/>
        </w:rPr>
        <w:t>learned.</w:t>
      </w:r>
      <w:proofErr w:type="gramEnd"/>
      <w:r w:rsidR="009B1A4B" w:rsidRPr="008626A8">
        <w:rPr>
          <w:rFonts w:ascii="Times New Roman" w:hAnsi="Times New Roman" w:cs="Times New Roman"/>
          <w:sz w:val="22"/>
          <w:szCs w:val="22"/>
        </w:rPr>
        <w:t xml:space="preserve"> . . . When formulating intended learning outcomes, we should in</w:t>
      </w:r>
      <w:r w:rsidR="009B1A4B" w:rsidRPr="008626A8">
        <w:rPr>
          <w:rFonts w:ascii="Times New Roman" w:hAnsi="Times New Roman" w:cs="Times New Roman"/>
          <w:sz w:val="22"/>
          <w:szCs w:val="22"/>
        </w:rPr>
        <w:softHyphen/>
        <w:t xml:space="preserve">tegrate the knowledge of essential facts and concepts with the development of habits of mind that will require their use. </w:t>
      </w:r>
    </w:p>
    <w:p w14:paraId="2A59A48E" w14:textId="06635110" w:rsidR="009B1A4B" w:rsidRPr="008626A8" w:rsidRDefault="0096534A" w:rsidP="009B1A4B">
      <w:pPr>
        <w:pStyle w:val="Style"/>
        <w:spacing w:line="240" w:lineRule="exact"/>
        <w:ind w:left="1440" w:right="720" w:firstLine="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B1A4B" w:rsidRPr="008626A8">
        <w:rPr>
          <w:rFonts w:ascii="Times New Roman" w:hAnsi="Times New Roman" w:cs="Times New Roman"/>
          <w:sz w:val="22"/>
          <w:szCs w:val="22"/>
        </w:rPr>
        <w:t>(</w:t>
      </w:r>
      <w:proofErr w:type="spellStart"/>
      <w:r w:rsidR="009B1A4B" w:rsidRPr="008626A8">
        <w:rPr>
          <w:rFonts w:ascii="Times New Roman" w:hAnsi="Times New Roman" w:cs="Times New Roman"/>
          <w:sz w:val="22"/>
          <w:szCs w:val="22"/>
        </w:rPr>
        <w:t>Huba</w:t>
      </w:r>
      <w:proofErr w:type="spellEnd"/>
      <w:r w:rsidR="009B1A4B" w:rsidRPr="008626A8">
        <w:rPr>
          <w:rFonts w:ascii="Times New Roman" w:hAnsi="Times New Roman" w:cs="Times New Roman"/>
          <w:sz w:val="22"/>
          <w:szCs w:val="22"/>
        </w:rPr>
        <w:t xml:space="preserve"> and Freed 2000, 114</w:t>
      </w:r>
      <w:r w:rsidR="00851E96">
        <w:rPr>
          <w:rFonts w:ascii="Times New Roman" w:hAnsi="Times New Roman" w:cs="Times New Roman"/>
          <w:sz w:val="22"/>
          <w:szCs w:val="22"/>
        </w:rPr>
        <w:t xml:space="preserve"> </w:t>
      </w:r>
      <w:proofErr w:type="gramStart"/>
      <w:r w:rsidR="00851E96">
        <w:rPr>
          <w:rFonts w:ascii="Times New Roman" w:hAnsi="Times New Roman" w:cs="Times New Roman"/>
          <w:sz w:val="22"/>
          <w:szCs w:val="22"/>
        </w:rPr>
        <w:t>emphasis</w:t>
      </w:r>
      <w:proofErr w:type="gramEnd"/>
      <w:r w:rsidR="00851E96">
        <w:rPr>
          <w:rFonts w:ascii="Times New Roman" w:hAnsi="Times New Roman" w:cs="Times New Roman"/>
          <w:sz w:val="22"/>
          <w:szCs w:val="22"/>
        </w:rPr>
        <w:t xml:space="preserve"> in text</w:t>
      </w:r>
      <w:r w:rsidR="009B1A4B" w:rsidRPr="008626A8">
        <w:rPr>
          <w:rFonts w:ascii="Times New Roman" w:hAnsi="Times New Roman" w:cs="Times New Roman"/>
          <w:sz w:val="22"/>
          <w:szCs w:val="22"/>
        </w:rPr>
        <w:t>)</w:t>
      </w:r>
    </w:p>
    <w:p w14:paraId="4C0A9AAD" w14:textId="77777777" w:rsidR="009B1A4B" w:rsidRPr="005B486D" w:rsidRDefault="009B1A4B" w:rsidP="009B1A4B">
      <w:pPr>
        <w:rPr>
          <w:w w:val="105"/>
        </w:rPr>
      </w:pPr>
    </w:p>
    <w:p w14:paraId="2F01D514" w14:textId="77777777" w:rsidR="0096534A" w:rsidRDefault="0096534A" w:rsidP="00743C75">
      <w:pPr>
        <w:rPr>
          <w:sz w:val="22"/>
          <w:szCs w:val="22"/>
        </w:rPr>
      </w:pPr>
    </w:p>
    <w:p w14:paraId="745821C1" w14:textId="77777777" w:rsidR="0096534A" w:rsidRDefault="0096534A" w:rsidP="00743C75">
      <w:pPr>
        <w:rPr>
          <w:sz w:val="22"/>
          <w:szCs w:val="22"/>
        </w:rPr>
      </w:pPr>
    </w:p>
    <w:p w14:paraId="4DDCB670" w14:textId="77777777" w:rsidR="00743C75" w:rsidRPr="0096534A" w:rsidRDefault="00743C75" w:rsidP="00743C75">
      <w:pPr>
        <w:rPr>
          <w:sz w:val="22"/>
          <w:szCs w:val="22"/>
        </w:rPr>
      </w:pPr>
      <w:r w:rsidRPr="0096534A">
        <w:rPr>
          <w:sz w:val="22"/>
          <w:szCs w:val="22"/>
        </w:rPr>
        <w:t xml:space="preserve">Mary </w:t>
      </w:r>
      <w:proofErr w:type="spellStart"/>
      <w:r w:rsidRPr="0096534A">
        <w:rPr>
          <w:sz w:val="22"/>
          <w:szCs w:val="22"/>
        </w:rPr>
        <w:t>Huba</w:t>
      </w:r>
      <w:proofErr w:type="spellEnd"/>
      <w:r w:rsidRPr="0096534A">
        <w:rPr>
          <w:sz w:val="22"/>
          <w:szCs w:val="22"/>
        </w:rPr>
        <w:t xml:space="preserve"> and </w:t>
      </w:r>
      <w:proofErr w:type="spellStart"/>
      <w:r w:rsidRPr="0096534A">
        <w:rPr>
          <w:sz w:val="22"/>
          <w:szCs w:val="22"/>
        </w:rPr>
        <w:t>Jann</w:t>
      </w:r>
      <w:proofErr w:type="spellEnd"/>
      <w:r w:rsidRPr="0096534A">
        <w:rPr>
          <w:sz w:val="22"/>
          <w:szCs w:val="22"/>
        </w:rPr>
        <w:t xml:space="preserve"> Freed. 2000. </w:t>
      </w:r>
      <w:r w:rsidRPr="0096534A">
        <w:rPr>
          <w:i/>
          <w:sz w:val="22"/>
          <w:szCs w:val="22"/>
        </w:rPr>
        <w:t>Learner Centered Assessment on College Campuses: Shifting the Focus from Teaching to Learning</w:t>
      </w:r>
      <w:r w:rsidRPr="0096534A">
        <w:rPr>
          <w:sz w:val="22"/>
          <w:szCs w:val="22"/>
        </w:rPr>
        <w:t xml:space="preserve">. </w:t>
      </w:r>
      <w:proofErr w:type="spellStart"/>
      <w:r w:rsidRPr="0096534A">
        <w:rPr>
          <w:sz w:val="22"/>
          <w:szCs w:val="22"/>
        </w:rPr>
        <w:t>Allyn</w:t>
      </w:r>
      <w:proofErr w:type="spellEnd"/>
      <w:r w:rsidRPr="0096534A">
        <w:rPr>
          <w:sz w:val="22"/>
          <w:szCs w:val="22"/>
        </w:rPr>
        <w:t xml:space="preserve"> and Bacon. </w:t>
      </w:r>
    </w:p>
    <w:p w14:paraId="274FCD7E" w14:textId="77777777" w:rsidR="00743C75" w:rsidRPr="0096534A" w:rsidRDefault="00743C75" w:rsidP="00743C75">
      <w:pPr>
        <w:rPr>
          <w:sz w:val="22"/>
          <w:szCs w:val="22"/>
        </w:rPr>
      </w:pPr>
    </w:p>
    <w:p w14:paraId="3B8B1658" w14:textId="77777777" w:rsidR="00743C75" w:rsidRPr="0096534A" w:rsidRDefault="00743C75" w:rsidP="00743C75">
      <w:pPr>
        <w:rPr>
          <w:sz w:val="22"/>
          <w:szCs w:val="22"/>
        </w:rPr>
      </w:pPr>
      <w:r w:rsidRPr="0096534A">
        <w:rPr>
          <w:sz w:val="22"/>
          <w:szCs w:val="22"/>
        </w:rPr>
        <w:t xml:space="preserve">R. </w:t>
      </w:r>
      <w:proofErr w:type="spellStart"/>
      <w:r w:rsidRPr="0096534A">
        <w:rPr>
          <w:sz w:val="22"/>
          <w:szCs w:val="22"/>
        </w:rPr>
        <w:t>Marzano</w:t>
      </w:r>
      <w:proofErr w:type="spellEnd"/>
      <w:r w:rsidRPr="0096534A">
        <w:rPr>
          <w:sz w:val="22"/>
          <w:szCs w:val="22"/>
        </w:rPr>
        <w:t xml:space="preserve">, D. Pickering, and J. </w:t>
      </w:r>
      <w:proofErr w:type="spellStart"/>
      <w:r w:rsidRPr="0096534A">
        <w:rPr>
          <w:sz w:val="22"/>
          <w:szCs w:val="22"/>
        </w:rPr>
        <w:t>McTighe</w:t>
      </w:r>
      <w:proofErr w:type="spellEnd"/>
      <w:r w:rsidRPr="0096534A">
        <w:rPr>
          <w:sz w:val="22"/>
          <w:szCs w:val="22"/>
        </w:rPr>
        <w:t xml:space="preserve">. 1993. </w:t>
      </w:r>
      <w:r w:rsidRPr="0096534A">
        <w:rPr>
          <w:i/>
          <w:sz w:val="22"/>
          <w:szCs w:val="22"/>
        </w:rPr>
        <w:t>Assessing Student Outcomes: Performance Assessment Using the Dimensions of Learning Model</w:t>
      </w:r>
      <w:r w:rsidRPr="0096534A">
        <w:rPr>
          <w:sz w:val="22"/>
          <w:szCs w:val="22"/>
        </w:rPr>
        <w:t xml:space="preserve">. Alexandria, VA: Association for Supervision and Curriculum Development. </w:t>
      </w:r>
    </w:p>
    <w:p w14:paraId="61E4F0F4" w14:textId="77777777" w:rsidR="00743C75" w:rsidRPr="0096534A" w:rsidRDefault="00743C75">
      <w:pPr>
        <w:rPr>
          <w:sz w:val="22"/>
          <w:szCs w:val="22"/>
        </w:rPr>
      </w:pPr>
    </w:p>
    <w:p w14:paraId="26FCA951" w14:textId="77777777" w:rsidR="00B82D81" w:rsidRPr="0096534A" w:rsidRDefault="00743C75">
      <w:pPr>
        <w:rPr>
          <w:sz w:val="22"/>
          <w:szCs w:val="22"/>
        </w:rPr>
      </w:pPr>
      <w:r w:rsidRPr="0096534A">
        <w:rPr>
          <w:sz w:val="22"/>
          <w:szCs w:val="22"/>
        </w:rPr>
        <w:t xml:space="preserve">See also Robert </w:t>
      </w:r>
      <w:proofErr w:type="spellStart"/>
      <w:r w:rsidRPr="0096534A">
        <w:rPr>
          <w:sz w:val="22"/>
          <w:szCs w:val="22"/>
        </w:rPr>
        <w:t>Marzano</w:t>
      </w:r>
      <w:proofErr w:type="spellEnd"/>
      <w:r w:rsidRPr="0096534A">
        <w:rPr>
          <w:sz w:val="22"/>
          <w:szCs w:val="22"/>
        </w:rPr>
        <w:t xml:space="preserve"> and Tammy </w:t>
      </w:r>
      <w:proofErr w:type="spellStart"/>
      <w:r w:rsidRPr="0096534A">
        <w:rPr>
          <w:sz w:val="22"/>
          <w:szCs w:val="22"/>
        </w:rPr>
        <w:t>Heflebower</w:t>
      </w:r>
      <w:proofErr w:type="spellEnd"/>
      <w:r w:rsidRPr="0096534A">
        <w:rPr>
          <w:sz w:val="22"/>
          <w:szCs w:val="22"/>
        </w:rPr>
        <w:t xml:space="preserve">. 2012. </w:t>
      </w:r>
      <w:r w:rsidRPr="0096534A">
        <w:rPr>
          <w:i/>
          <w:sz w:val="22"/>
          <w:szCs w:val="22"/>
        </w:rPr>
        <w:t>Teaching and Assessing 21</w:t>
      </w:r>
      <w:r w:rsidRPr="0096534A">
        <w:rPr>
          <w:i/>
          <w:sz w:val="22"/>
          <w:szCs w:val="22"/>
          <w:vertAlign w:val="superscript"/>
        </w:rPr>
        <w:t>st</w:t>
      </w:r>
      <w:r w:rsidRPr="0096534A">
        <w:rPr>
          <w:i/>
          <w:sz w:val="22"/>
          <w:szCs w:val="22"/>
        </w:rPr>
        <w:t xml:space="preserve"> Century Skills.</w:t>
      </w:r>
      <w:r w:rsidRPr="0096534A">
        <w:rPr>
          <w:sz w:val="22"/>
          <w:szCs w:val="22"/>
        </w:rPr>
        <w:t xml:space="preserve"> </w:t>
      </w:r>
      <w:proofErr w:type="spellStart"/>
      <w:proofErr w:type="gramStart"/>
      <w:r w:rsidRPr="0096534A">
        <w:rPr>
          <w:sz w:val="22"/>
          <w:szCs w:val="22"/>
        </w:rPr>
        <w:t>Marzano</w:t>
      </w:r>
      <w:proofErr w:type="spellEnd"/>
      <w:r w:rsidRPr="0096534A">
        <w:rPr>
          <w:sz w:val="22"/>
          <w:szCs w:val="22"/>
        </w:rPr>
        <w:t xml:space="preserve"> Research Laboratory.</w:t>
      </w:r>
      <w:proofErr w:type="gramEnd"/>
      <w:r w:rsidRPr="0096534A">
        <w:rPr>
          <w:sz w:val="22"/>
          <w:szCs w:val="22"/>
        </w:rPr>
        <w:t xml:space="preserve">  </w:t>
      </w:r>
      <w:r w:rsidR="00810BCE" w:rsidRPr="0096534A">
        <w:rPr>
          <w:sz w:val="22"/>
          <w:szCs w:val="22"/>
        </w:rPr>
        <w:t xml:space="preserve"> </w:t>
      </w:r>
    </w:p>
    <w:sectPr w:rsidR="00B82D81" w:rsidRPr="0096534A" w:rsidSect="00743C75">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F6F63"/>
    <w:multiLevelType w:val="hybridMultilevel"/>
    <w:tmpl w:val="121E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D4"/>
    <w:rsid w:val="000759E4"/>
    <w:rsid w:val="00743C75"/>
    <w:rsid w:val="00810BCE"/>
    <w:rsid w:val="008410D4"/>
    <w:rsid w:val="00851E96"/>
    <w:rsid w:val="008626A8"/>
    <w:rsid w:val="0096534A"/>
    <w:rsid w:val="009B1A4B"/>
    <w:rsid w:val="00A11C2A"/>
    <w:rsid w:val="00B82D81"/>
    <w:rsid w:val="00E8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718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B1A4B"/>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743C75"/>
    <w:rPr>
      <w:color w:val="0000FF" w:themeColor="hyperlink"/>
      <w:u w:val="single"/>
    </w:rPr>
  </w:style>
  <w:style w:type="character" w:styleId="FollowedHyperlink">
    <w:name w:val="FollowedHyperlink"/>
    <w:basedOn w:val="DefaultParagraphFont"/>
    <w:uiPriority w:val="99"/>
    <w:semiHidden/>
    <w:unhideWhenUsed/>
    <w:rsid w:val="00743C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B1A4B"/>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743C75"/>
    <w:rPr>
      <w:color w:val="0000FF" w:themeColor="hyperlink"/>
      <w:u w:val="single"/>
    </w:rPr>
  </w:style>
  <w:style w:type="character" w:styleId="FollowedHyperlink">
    <w:name w:val="FollowedHyperlink"/>
    <w:basedOn w:val="DefaultParagraphFont"/>
    <w:uiPriority w:val="99"/>
    <w:semiHidden/>
    <w:unhideWhenUsed/>
    <w:rsid w:val="00743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449</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Marzano, Pickering, and McTighe describe five types of learning outcomes that promote lifelong learning</vt:lpstr>
    </vt:vector>
  </TitlesOfParts>
  <Company>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Marzano, Pickering, and McTighe describe five types of learning outcomes that promote lifelong learning</dc:title>
  <dc:subject/>
  <dc:creator>Linda Cannell</dc:creator>
  <cp:keywords/>
  <dc:description/>
  <cp:lastModifiedBy>Linda Cannell</cp:lastModifiedBy>
  <cp:revision>3</cp:revision>
  <dcterms:created xsi:type="dcterms:W3CDTF">2014-09-23T17:37:00Z</dcterms:created>
  <dcterms:modified xsi:type="dcterms:W3CDTF">2015-10-03T20:29:00Z</dcterms:modified>
</cp:coreProperties>
</file>